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outlineLvl w:val="0"/>
        <w:rPr>
          <w:rFonts w:hint="eastAsia" w:ascii="方正小标宋简体" w:hAnsi="方正小标宋简体" w:eastAsia="方正小标宋简体" w:cs="方正小标宋简体"/>
          <w:bCs/>
          <w:sz w:val="36"/>
          <w:szCs w:val="36"/>
          <w:lang w:val="en-US" w:eastAsia="zh-CN"/>
        </w:rPr>
      </w:pPr>
      <w:r>
        <w:rPr>
          <w:rFonts w:hint="eastAsia" w:ascii="方正小标宋简体" w:hAnsi="方正小标宋简体" w:eastAsia="方正小标宋简体" w:cs="方正小标宋简体"/>
          <w:bCs/>
          <w:sz w:val="36"/>
          <w:szCs w:val="36"/>
        </w:rPr>
        <w:t>合肥市第四中学官方网站系统安全等级保护</w:t>
      </w:r>
      <w:r>
        <w:rPr>
          <w:rFonts w:hint="eastAsia" w:ascii="方正小标宋简体" w:hAnsi="方正小标宋简体" w:eastAsia="方正小标宋简体" w:cs="方正小标宋简体"/>
          <w:bCs/>
          <w:sz w:val="36"/>
          <w:szCs w:val="36"/>
          <w:lang w:val="en-US" w:eastAsia="zh-CN"/>
        </w:rPr>
        <w:t>测评</w:t>
      </w:r>
    </w:p>
    <w:p>
      <w:pPr>
        <w:adjustRightInd w:val="0"/>
        <w:snapToGrid w:val="0"/>
        <w:spacing w:line="600" w:lineRule="exact"/>
        <w:jc w:val="center"/>
        <w:outlineLvl w:val="0"/>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lang w:val="en-US" w:eastAsia="zh-CN"/>
        </w:rPr>
        <w:t>招标</w:t>
      </w:r>
      <w:r>
        <w:rPr>
          <w:rFonts w:hint="eastAsia" w:ascii="方正小标宋简体" w:hAnsi="方正小标宋简体" w:eastAsia="方正小标宋简体" w:cs="方正小标宋简体"/>
          <w:bCs/>
          <w:sz w:val="36"/>
          <w:szCs w:val="36"/>
        </w:rPr>
        <w:t>文件</w:t>
      </w:r>
    </w:p>
    <w:p>
      <w:pPr>
        <w:adjustRightInd w:val="0"/>
        <w:snapToGrid w:val="0"/>
        <w:spacing w:line="540" w:lineRule="exact"/>
        <w:outlineLvl w:val="0"/>
        <w:rPr>
          <w:rFonts w:ascii="宋体" w:hAnsi="宋体" w:cs="Courier New"/>
          <w:b/>
          <w:sz w:val="24"/>
          <w:szCs w:val="24"/>
        </w:rPr>
      </w:pPr>
    </w:p>
    <w:p>
      <w:pPr>
        <w:ind w:firstLine="640" w:firstLineChars="200"/>
        <w:rPr>
          <w:rFonts w:ascii="黑体" w:hAnsi="黑体" w:eastAsia="黑体" w:cs="黑体"/>
          <w:sz w:val="32"/>
          <w:szCs w:val="32"/>
        </w:rPr>
      </w:pPr>
      <w:r>
        <w:rPr>
          <w:rFonts w:hint="eastAsia" w:ascii="黑体" w:hAnsi="黑体" w:eastAsia="黑体" w:cs="黑体"/>
          <w:sz w:val="32"/>
          <w:szCs w:val="32"/>
        </w:rPr>
        <w:t>一、项目概述</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6"/>
        </w:rPr>
        <w:t>为贯彻落实国家信息安全等级保护制度，根据公安部《关于开展信息安全等级保护安全建设整改工作的指导意见》（公信安[2009]1429号）的要求，以国家等级保护相关标准《信息安全等级保护基本要求》（GB/T 22239-20</w:t>
      </w:r>
      <w:r>
        <w:rPr>
          <w:rFonts w:ascii="仿宋_GB2312" w:hAnsi="仿宋_GB2312" w:eastAsia="仿宋_GB2312" w:cs="仿宋_GB2312"/>
          <w:sz w:val="32"/>
          <w:szCs w:val="36"/>
        </w:rPr>
        <w:t>19</w:t>
      </w:r>
      <w:r>
        <w:rPr>
          <w:rFonts w:hint="eastAsia" w:ascii="仿宋_GB2312" w:hAnsi="仿宋_GB2312" w:eastAsia="仿宋_GB2312" w:cs="仿宋_GB2312"/>
          <w:sz w:val="32"/>
          <w:szCs w:val="36"/>
        </w:rPr>
        <w:t>）、《信息安全等级保护定级指南》（GB/T 22240-20</w:t>
      </w:r>
      <w:r>
        <w:rPr>
          <w:rFonts w:ascii="仿宋_GB2312" w:hAnsi="仿宋_GB2312" w:eastAsia="仿宋_GB2312" w:cs="仿宋_GB2312"/>
          <w:sz w:val="32"/>
          <w:szCs w:val="36"/>
        </w:rPr>
        <w:t>16</w:t>
      </w:r>
      <w:r>
        <w:rPr>
          <w:rFonts w:hint="eastAsia" w:ascii="仿宋_GB2312" w:hAnsi="仿宋_GB2312" w:eastAsia="仿宋_GB2312" w:cs="仿宋_GB2312"/>
          <w:sz w:val="32"/>
          <w:szCs w:val="36"/>
        </w:rPr>
        <w:t>）为基础，进一步提高合肥市第四中学官方网站系统安全防护水平，明确信息系统的安全保护水平与国家信息安全等级保护相关要求之间的差距以及系统存在的安全隐患，需对合肥市第四中学官方网站系统</w:t>
      </w:r>
      <w:r>
        <w:rPr>
          <w:rFonts w:hint="eastAsia" w:ascii="仿宋_GB2312" w:hAnsi="仿宋_GB2312" w:eastAsia="仿宋_GB2312" w:cs="仿宋_GB2312"/>
          <w:color w:val="000000"/>
          <w:sz w:val="32"/>
          <w:szCs w:val="32"/>
        </w:rPr>
        <w:t>实施等级保护测评工作，以便为后续的安全建设和整改工作提供建议和决策依据，以进一步完善信息系统安全管理体系和技术防护体系，切实提高系统信息安全防护能力，为</w:t>
      </w:r>
      <w:r>
        <w:rPr>
          <w:rFonts w:hint="eastAsia" w:ascii="仿宋_GB2312" w:hAnsi="仿宋_GB2312" w:eastAsia="仿宋_GB2312" w:cs="仿宋_GB2312"/>
          <w:sz w:val="32"/>
          <w:szCs w:val="36"/>
        </w:rPr>
        <w:t>合肥市第四中学</w:t>
      </w:r>
      <w:r>
        <w:rPr>
          <w:rFonts w:hint="eastAsia" w:ascii="仿宋_GB2312" w:hAnsi="仿宋_GB2312" w:eastAsia="仿宋_GB2312" w:cs="仿宋_GB2312"/>
          <w:color w:val="000000"/>
          <w:sz w:val="32"/>
          <w:szCs w:val="32"/>
        </w:rPr>
        <w:t>信息化健康发展提供可靠保障。</w:t>
      </w:r>
    </w:p>
    <w:tbl>
      <w:tblPr>
        <w:tblStyle w:val="17"/>
        <w:tblW w:w="8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7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2" w:hRule="atLeast"/>
          <w:jc w:val="center"/>
        </w:trPr>
        <w:tc>
          <w:tcPr>
            <w:tcW w:w="8797" w:type="dxa"/>
            <w:gridSpan w:val="2"/>
            <w:tcBorders>
              <w:top w:val="single" w:color="auto" w:sz="4" w:space="0"/>
              <w:left w:val="single" w:color="auto" w:sz="4" w:space="0"/>
              <w:bottom w:val="single" w:color="auto" w:sz="4" w:space="0"/>
              <w:right w:val="single" w:color="auto" w:sz="4" w:space="0"/>
            </w:tcBorders>
          </w:tcPr>
          <w:p>
            <w:pPr>
              <w:pStyle w:val="11"/>
              <w:spacing w:before="156" w:beforeLines="50" w:after="156" w:afterLines="50" w:line="460" w:lineRule="exact"/>
              <w:ind w:firstLine="0"/>
              <w:jc w:val="center"/>
              <w:rPr>
                <w:rStyle w:val="20"/>
                <w:rFonts w:ascii="仿宋" w:hAnsi="仿宋" w:eastAsia="仿宋" w:cs="仿宋"/>
                <w:b w:val="0"/>
                <w:sz w:val="28"/>
                <w:szCs w:val="28"/>
              </w:rPr>
            </w:pPr>
            <w:r>
              <w:rPr>
                <w:rFonts w:hint="eastAsia" w:ascii="仿宋_GB2312" w:hAnsi="仿宋_GB2312" w:eastAsia="仿宋_GB2312" w:cs="仿宋_GB2312"/>
                <w:sz w:val="28"/>
                <w:szCs w:val="28"/>
              </w:rPr>
              <w:t>招标须知前附表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8" w:hRule="atLeast"/>
          <w:jc w:val="center"/>
        </w:trPr>
        <w:tc>
          <w:tcPr>
            <w:tcW w:w="882" w:type="dxa"/>
            <w:tcBorders>
              <w:top w:val="single" w:color="auto" w:sz="4" w:space="0"/>
              <w:left w:val="single" w:color="auto" w:sz="4" w:space="0"/>
              <w:bottom w:val="single" w:color="auto" w:sz="4" w:space="0"/>
              <w:right w:val="single" w:color="auto" w:sz="4" w:space="0"/>
            </w:tcBorders>
          </w:tcPr>
          <w:p>
            <w:pPr>
              <w:spacing w:before="50" w:after="50" w:line="4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7915" w:type="dxa"/>
            <w:tcBorders>
              <w:top w:val="single" w:color="auto" w:sz="4" w:space="0"/>
              <w:left w:val="single" w:color="auto" w:sz="4" w:space="0"/>
              <w:bottom w:val="single" w:color="auto" w:sz="4" w:space="0"/>
              <w:right w:val="single" w:color="auto" w:sz="4" w:space="0"/>
            </w:tcBorders>
          </w:tcPr>
          <w:p>
            <w:pPr>
              <w:spacing w:before="50" w:after="50" w:line="4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8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1"/>
              <w:spacing w:before="156" w:beforeLines="50" w:after="156" w:afterLines="50" w:line="440" w:lineRule="exact"/>
              <w:ind w:firstLine="0"/>
              <w:jc w:val="center"/>
              <w:rPr>
                <w:rFonts w:ascii="仿宋" w:hAnsi="仿宋" w:eastAsia="仿宋" w:cs="仿宋"/>
                <w:color w:val="auto"/>
                <w:sz w:val="28"/>
                <w:szCs w:val="28"/>
              </w:rPr>
            </w:pPr>
            <w:r>
              <w:rPr>
                <w:rFonts w:hint="eastAsia" w:ascii="仿宋" w:hAnsi="仿宋" w:eastAsia="仿宋" w:cs="仿宋"/>
                <w:color w:val="auto"/>
                <w:sz w:val="28"/>
                <w:szCs w:val="28"/>
              </w:rPr>
              <w:t>1</w:t>
            </w:r>
          </w:p>
        </w:tc>
        <w:tc>
          <w:tcPr>
            <w:tcW w:w="7915" w:type="dxa"/>
            <w:tcBorders>
              <w:top w:val="single" w:color="auto" w:sz="4" w:space="0"/>
              <w:left w:val="single" w:color="auto" w:sz="4" w:space="0"/>
              <w:bottom w:val="single" w:color="auto" w:sz="4" w:space="0"/>
              <w:right w:val="single" w:color="auto" w:sz="4" w:space="0"/>
            </w:tcBorders>
          </w:tcPr>
          <w:p>
            <w:pPr>
              <w:spacing w:before="50" w:after="50" w:line="4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项目名称：合肥市第四中学官方网站系统网络安全等级保护测评                       </w:t>
            </w:r>
          </w:p>
          <w:p>
            <w:pPr>
              <w:spacing w:before="50" w:after="50" w:line="4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项目性质：服务类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38"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1"/>
              <w:spacing w:before="156" w:beforeLines="50" w:after="156" w:afterLines="50" w:line="440" w:lineRule="exact"/>
              <w:ind w:firstLine="0"/>
              <w:jc w:val="center"/>
              <w:rPr>
                <w:rFonts w:ascii="仿宋" w:hAnsi="仿宋" w:eastAsia="仿宋" w:cs="仿宋"/>
                <w:color w:val="auto"/>
                <w:sz w:val="28"/>
                <w:szCs w:val="28"/>
              </w:rPr>
            </w:pPr>
            <w:r>
              <w:rPr>
                <w:rFonts w:hint="eastAsia" w:ascii="仿宋" w:hAnsi="仿宋" w:eastAsia="仿宋" w:cs="仿宋"/>
                <w:color w:val="auto"/>
                <w:sz w:val="28"/>
                <w:szCs w:val="28"/>
              </w:rPr>
              <w:t>2</w:t>
            </w:r>
          </w:p>
        </w:tc>
        <w:tc>
          <w:tcPr>
            <w:tcW w:w="7915" w:type="dxa"/>
            <w:tcBorders>
              <w:top w:val="single" w:color="auto" w:sz="4" w:space="0"/>
              <w:left w:val="single" w:color="auto" w:sz="4" w:space="0"/>
              <w:bottom w:val="single" w:color="auto" w:sz="4" w:space="0"/>
              <w:right w:val="single" w:color="auto" w:sz="4" w:space="0"/>
            </w:tcBorders>
          </w:tcPr>
          <w:p>
            <w:pPr>
              <w:spacing w:before="50" w:after="50" w:line="4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集中采购机构：合肥市第四中学</w:t>
            </w:r>
          </w:p>
          <w:p>
            <w:pPr>
              <w:spacing w:before="50" w:after="50" w:line="4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地址：安徽省合肥市滨湖新区迎淮路与天津路交口合肥市第四中学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18"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1"/>
              <w:spacing w:before="156" w:beforeLines="50" w:after="156" w:afterLines="50" w:line="440" w:lineRule="exact"/>
              <w:ind w:firstLine="0"/>
              <w:jc w:val="center"/>
              <w:rPr>
                <w:rFonts w:ascii="仿宋" w:hAnsi="仿宋" w:eastAsia="仿宋" w:cs="仿宋"/>
                <w:color w:val="auto"/>
                <w:sz w:val="28"/>
                <w:szCs w:val="28"/>
              </w:rPr>
            </w:pPr>
            <w:r>
              <w:rPr>
                <w:rFonts w:hint="eastAsia" w:ascii="仿宋" w:hAnsi="仿宋" w:eastAsia="仿宋" w:cs="仿宋"/>
                <w:color w:val="auto"/>
                <w:sz w:val="28"/>
                <w:szCs w:val="28"/>
              </w:rPr>
              <w:t>3</w:t>
            </w:r>
          </w:p>
        </w:tc>
        <w:tc>
          <w:tcPr>
            <w:tcW w:w="791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项目最高限价：伍万元整（50000.00）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7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1"/>
              <w:spacing w:before="156" w:beforeLines="50" w:after="156" w:afterLines="50" w:line="440" w:lineRule="exact"/>
              <w:ind w:firstLine="0"/>
              <w:jc w:val="center"/>
              <w:rPr>
                <w:rFonts w:ascii="仿宋" w:hAnsi="仿宋" w:eastAsia="仿宋" w:cs="仿宋"/>
                <w:color w:val="auto"/>
                <w:sz w:val="28"/>
                <w:szCs w:val="28"/>
              </w:rPr>
            </w:pPr>
            <w:r>
              <w:rPr>
                <w:rFonts w:hint="eastAsia" w:ascii="仿宋" w:hAnsi="仿宋" w:eastAsia="仿宋" w:cs="仿宋"/>
                <w:color w:val="auto"/>
                <w:sz w:val="28"/>
                <w:szCs w:val="28"/>
              </w:rPr>
              <w:t>4</w:t>
            </w:r>
          </w:p>
        </w:tc>
        <w:tc>
          <w:tcPr>
            <w:tcW w:w="7915" w:type="dxa"/>
            <w:tcBorders>
              <w:top w:val="single" w:color="auto" w:sz="4" w:space="0"/>
              <w:left w:val="single" w:color="auto" w:sz="4" w:space="0"/>
              <w:bottom w:val="single" w:color="auto" w:sz="4" w:space="0"/>
              <w:right w:val="single" w:color="auto" w:sz="4" w:space="0"/>
            </w:tcBorders>
          </w:tcPr>
          <w:p>
            <w:pPr>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报名及投标 </w:t>
            </w:r>
          </w:p>
          <w:p>
            <w:pPr>
              <w:ind w:firstLine="560" w:firstLineChars="200"/>
              <w:rPr>
                <w:rFonts w:ascii="仿宋" w:hAnsi="仿宋" w:eastAsia="仿宋" w:cs="仿宋"/>
                <w:sz w:val="28"/>
                <w:szCs w:val="28"/>
              </w:rPr>
            </w:pPr>
            <w:r>
              <w:rPr>
                <w:rFonts w:hint="eastAsia" w:ascii="仿宋" w:hAnsi="仿宋" w:eastAsia="仿宋" w:cs="仿宋"/>
                <w:sz w:val="28"/>
                <w:szCs w:val="28"/>
              </w:rPr>
              <w:t>1.投标（报名）时间：20</w:t>
            </w:r>
            <w:r>
              <w:rPr>
                <w:rFonts w:ascii="仿宋" w:hAnsi="仿宋" w:eastAsia="仿宋" w:cs="仿宋"/>
                <w:sz w:val="28"/>
                <w:szCs w:val="28"/>
              </w:rPr>
              <w:t>23</w:t>
            </w:r>
            <w:r>
              <w:rPr>
                <w:rFonts w:hint="eastAsia" w:ascii="仿宋" w:hAnsi="仿宋" w:eastAsia="仿宋" w:cs="仿宋"/>
                <w:sz w:val="28"/>
                <w:szCs w:val="28"/>
              </w:rPr>
              <w:t>年</w:t>
            </w:r>
            <w:r>
              <w:rPr>
                <w:rFonts w:ascii="仿宋" w:hAnsi="仿宋" w:eastAsia="仿宋" w:cs="仿宋"/>
                <w:sz w:val="28"/>
                <w:szCs w:val="28"/>
              </w:rPr>
              <w:t>11</w:t>
            </w:r>
            <w:r>
              <w:rPr>
                <w:rFonts w:hint="eastAsia" w:ascii="仿宋" w:hAnsi="仿宋" w:eastAsia="仿宋" w:cs="仿宋"/>
                <w:sz w:val="28"/>
                <w:szCs w:val="28"/>
              </w:rPr>
              <w:t>月</w:t>
            </w:r>
            <w:r>
              <w:rPr>
                <w:rFonts w:ascii="仿宋" w:hAnsi="仿宋" w:eastAsia="仿宋" w:cs="仿宋"/>
                <w:sz w:val="28"/>
                <w:szCs w:val="28"/>
              </w:rPr>
              <w:t>16</w:t>
            </w:r>
            <w:r>
              <w:rPr>
                <w:rFonts w:hint="eastAsia" w:ascii="仿宋" w:hAnsi="仿宋" w:eastAsia="仿宋" w:cs="仿宋"/>
                <w:sz w:val="28"/>
                <w:szCs w:val="28"/>
              </w:rPr>
              <w:t>日9：3</w:t>
            </w:r>
            <w:bookmarkStart w:id="4" w:name="_GoBack"/>
            <w:bookmarkEnd w:id="4"/>
            <w:r>
              <w:rPr>
                <w:rFonts w:ascii="仿宋" w:hAnsi="仿宋" w:eastAsia="仿宋" w:cs="仿宋"/>
                <w:sz w:val="28"/>
                <w:szCs w:val="28"/>
              </w:rPr>
              <w:t>0</w:t>
            </w:r>
            <w:r>
              <w:rPr>
                <w:rFonts w:hint="eastAsia" w:ascii="仿宋" w:hAnsi="仿宋" w:eastAsia="仿宋" w:cs="仿宋"/>
                <w:sz w:val="28"/>
                <w:szCs w:val="28"/>
              </w:rPr>
              <w:t>-202</w:t>
            </w:r>
            <w:r>
              <w:rPr>
                <w:rFonts w:ascii="仿宋" w:hAnsi="仿宋" w:eastAsia="仿宋" w:cs="仿宋"/>
                <w:sz w:val="28"/>
                <w:szCs w:val="28"/>
              </w:rPr>
              <w:t>3</w:t>
            </w:r>
            <w:r>
              <w:rPr>
                <w:rFonts w:hint="eastAsia" w:ascii="仿宋" w:hAnsi="仿宋" w:eastAsia="仿宋" w:cs="仿宋"/>
                <w:sz w:val="28"/>
                <w:szCs w:val="28"/>
              </w:rPr>
              <w:t>年</w:t>
            </w:r>
            <w:r>
              <w:rPr>
                <w:rFonts w:ascii="仿宋" w:hAnsi="仿宋" w:eastAsia="仿宋" w:cs="仿宋"/>
                <w:sz w:val="28"/>
                <w:szCs w:val="28"/>
              </w:rPr>
              <w:t>11</w:t>
            </w:r>
            <w:r>
              <w:rPr>
                <w:rFonts w:hint="eastAsia" w:ascii="仿宋" w:hAnsi="仿宋" w:eastAsia="仿宋" w:cs="仿宋"/>
                <w:sz w:val="28"/>
                <w:szCs w:val="28"/>
              </w:rPr>
              <w:t>月</w:t>
            </w:r>
            <w:r>
              <w:rPr>
                <w:rFonts w:ascii="仿宋" w:hAnsi="仿宋" w:eastAsia="仿宋" w:cs="仿宋"/>
                <w:sz w:val="28"/>
                <w:szCs w:val="28"/>
              </w:rPr>
              <w:t>22</w:t>
            </w:r>
            <w:r>
              <w:rPr>
                <w:rFonts w:hint="eastAsia" w:ascii="仿宋" w:hAnsi="仿宋" w:eastAsia="仿宋" w:cs="仿宋"/>
                <w:sz w:val="28"/>
                <w:szCs w:val="28"/>
              </w:rPr>
              <w:t>日1</w:t>
            </w:r>
            <w:r>
              <w:rPr>
                <w:rFonts w:ascii="仿宋" w:hAnsi="仿宋" w:eastAsia="仿宋" w:cs="仿宋"/>
                <w:sz w:val="28"/>
                <w:szCs w:val="28"/>
              </w:rPr>
              <w:t>7</w:t>
            </w:r>
            <w:r>
              <w:rPr>
                <w:rFonts w:hint="eastAsia" w:ascii="仿宋" w:hAnsi="仿宋" w:eastAsia="仿宋" w:cs="仿宋"/>
                <w:sz w:val="28"/>
                <w:szCs w:val="28"/>
              </w:rPr>
              <w:t xml:space="preserve">:00，在此时间后报名、投递学校不予接收。 </w:t>
            </w:r>
          </w:p>
          <w:p>
            <w:pPr>
              <w:ind w:firstLine="560" w:firstLineChars="200"/>
              <w:rPr>
                <w:rFonts w:ascii="仿宋" w:hAnsi="仿宋" w:eastAsia="仿宋" w:cs="仿宋"/>
                <w:sz w:val="28"/>
                <w:szCs w:val="28"/>
              </w:rPr>
            </w:pPr>
            <w:r>
              <w:rPr>
                <w:rFonts w:hint="eastAsia" w:ascii="仿宋" w:hAnsi="仿宋" w:eastAsia="仿宋" w:cs="仿宋"/>
                <w:sz w:val="28"/>
                <w:szCs w:val="28"/>
              </w:rPr>
              <w:t>2.投标材料递交方式：</w:t>
            </w:r>
          </w:p>
          <w:p>
            <w:pPr>
              <w:ind w:firstLine="560" w:firstLineChars="200"/>
              <w:rPr>
                <w:rFonts w:ascii="仿宋" w:hAnsi="仿宋" w:eastAsia="仿宋" w:cs="仿宋"/>
                <w:sz w:val="28"/>
                <w:szCs w:val="28"/>
              </w:rPr>
            </w:pPr>
            <w:r>
              <w:rPr>
                <w:rFonts w:hint="eastAsia" w:ascii="仿宋" w:hAnsi="仿宋" w:eastAsia="仿宋" w:cs="仿宋"/>
                <w:sz w:val="28"/>
                <w:szCs w:val="28"/>
              </w:rPr>
              <w:t>（1）材料递交地点：合肥市滨湖新区迎淮路与天津路交口合肥市第四中学景贤书院五楼数据资源中心 陈老师收 电话：0551-62899597，注明投标人姓名、详细通讯地址、联系电话。</w:t>
            </w:r>
          </w:p>
          <w:p>
            <w:pPr>
              <w:ind w:firstLine="560" w:firstLineChars="200"/>
              <w:rPr>
                <w:rFonts w:ascii="仿宋_GB2312" w:hAnsi="仿宋_GB2312" w:eastAsia="仿宋_GB2312" w:cs="仿宋_GB2312"/>
                <w:color w:val="000000"/>
                <w:sz w:val="28"/>
                <w:szCs w:val="28"/>
              </w:rPr>
            </w:pPr>
            <w:r>
              <w:rPr>
                <w:rFonts w:hint="eastAsia" w:ascii="仿宋" w:hAnsi="仿宋" w:eastAsia="仿宋" w:cs="仿宋"/>
                <w:sz w:val="28"/>
                <w:szCs w:val="28"/>
              </w:rPr>
              <w:t>（2）EMS：安徽省合肥市滨湖新区迎淮路与天津路交口合肥市第四中学/ 邮编:230601  电话:0551-62899597，陈老师收。请在邮件上注明“</w:t>
            </w:r>
            <w:r>
              <w:rPr>
                <w:rFonts w:hint="eastAsia" w:ascii="仿宋_GB2312" w:hAnsi="仿宋_GB2312" w:eastAsia="仿宋_GB2312" w:cs="仿宋_GB2312"/>
                <w:color w:val="000000"/>
                <w:sz w:val="28"/>
                <w:szCs w:val="28"/>
              </w:rPr>
              <w:t>合肥市第四中学官方网站系统网络安全等级保护测评”。</w:t>
            </w:r>
          </w:p>
          <w:p>
            <w:pPr>
              <w:ind w:firstLine="560" w:firstLineChars="200"/>
              <w:rPr>
                <w:rFonts w:ascii="仿宋" w:hAnsi="仿宋" w:eastAsia="仿宋" w:cs="仿宋"/>
                <w:sz w:val="28"/>
                <w:szCs w:val="28"/>
              </w:rPr>
            </w:pPr>
            <w:r>
              <w:rPr>
                <w:rFonts w:hint="eastAsia" w:ascii="仿宋" w:hAnsi="仿宋" w:eastAsia="仿宋" w:cs="仿宋"/>
                <w:sz w:val="28"/>
                <w:szCs w:val="28"/>
              </w:rPr>
              <w:t>3.评标时间：北京时间202</w:t>
            </w:r>
            <w:r>
              <w:rPr>
                <w:rFonts w:ascii="仿宋" w:hAnsi="仿宋" w:eastAsia="仿宋" w:cs="仿宋"/>
                <w:sz w:val="28"/>
                <w:szCs w:val="28"/>
              </w:rPr>
              <w:t>3</w:t>
            </w:r>
            <w:r>
              <w:rPr>
                <w:rFonts w:hint="eastAsia" w:ascii="仿宋" w:hAnsi="仿宋" w:eastAsia="仿宋" w:cs="仿宋"/>
                <w:sz w:val="28"/>
                <w:szCs w:val="28"/>
              </w:rPr>
              <w:t>年</w:t>
            </w:r>
            <w:r>
              <w:rPr>
                <w:rFonts w:ascii="仿宋" w:hAnsi="仿宋" w:eastAsia="仿宋" w:cs="仿宋"/>
                <w:sz w:val="28"/>
                <w:szCs w:val="28"/>
              </w:rPr>
              <w:t>11</w:t>
            </w:r>
            <w:r>
              <w:rPr>
                <w:rFonts w:hint="eastAsia" w:ascii="仿宋" w:hAnsi="仿宋" w:eastAsia="仿宋" w:cs="仿宋"/>
                <w:sz w:val="28"/>
                <w:szCs w:val="28"/>
              </w:rPr>
              <w:t>月</w:t>
            </w:r>
            <w:r>
              <w:rPr>
                <w:rFonts w:ascii="仿宋" w:hAnsi="仿宋" w:eastAsia="仿宋" w:cs="仿宋"/>
                <w:sz w:val="28"/>
                <w:szCs w:val="28"/>
              </w:rPr>
              <w:t>24</w:t>
            </w:r>
            <w:r>
              <w:rPr>
                <w:rFonts w:hint="eastAsia" w:ascii="仿宋" w:hAnsi="仿宋" w:eastAsia="仿宋" w:cs="仿宋"/>
                <w:sz w:val="28"/>
                <w:szCs w:val="28"/>
              </w:rPr>
              <w:t>日   上午：9：30</w:t>
            </w:r>
          </w:p>
          <w:p>
            <w:pPr>
              <w:ind w:firstLine="560" w:firstLineChars="200"/>
              <w:rPr>
                <w:rFonts w:ascii="仿宋_GB2312" w:hAnsi="仿宋_GB2312" w:eastAsia="仿宋_GB2312" w:cs="仿宋_GB2312"/>
                <w:color w:val="000000"/>
                <w:sz w:val="28"/>
                <w:szCs w:val="28"/>
              </w:rPr>
            </w:pPr>
            <w:r>
              <w:rPr>
                <w:rFonts w:hint="eastAsia" w:ascii="仿宋" w:hAnsi="仿宋" w:eastAsia="仿宋" w:cs="仿宋"/>
                <w:sz w:val="28"/>
                <w:szCs w:val="28"/>
              </w:rPr>
              <w:t>4.评标地点：合肥市第四中学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1"/>
              <w:spacing w:before="156" w:beforeLines="50" w:after="156" w:afterLines="50" w:line="440" w:lineRule="exact"/>
              <w:ind w:firstLine="0"/>
              <w:jc w:val="center"/>
              <w:rPr>
                <w:rFonts w:ascii="仿宋" w:hAnsi="仿宋" w:eastAsia="仿宋" w:cs="仿宋"/>
                <w:color w:val="auto"/>
                <w:sz w:val="28"/>
                <w:szCs w:val="28"/>
              </w:rPr>
            </w:pPr>
            <w:r>
              <w:rPr>
                <w:rFonts w:hint="eastAsia" w:ascii="仿宋" w:hAnsi="仿宋" w:eastAsia="仿宋" w:cs="仿宋"/>
                <w:color w:val="auto"/>
                <w:sz w:val="28"/>
                <w:szCs w:val="28"/>
              </w:rPr>
              <w:t>5</w:t>
            </w:r>
          </w:p>
        </w:tc>
        <w:tc>
          <w:tcPr>
            <w:tcW w:w="7915" w:type="dxa"/>
            <w:tcBorders>
              <w:top w:val="single" w:color="auto" w:sz="4" w:space="0"/>
              <w:left w:val="single" w:color="auto" w:sz="4" w:space="0"/>
              <w:bottom w:val="single" w:color="auto" w:sz="4" w:space="0"/>
              <w:right w:val="single" w:color="auto" w:sz="4" w:space="0"/>
            </w:tcBorders>
          </w:tcPr>
          <w:p>
            <w:pPr>
              <w:pStyle w:val="11"/>
              <w:spacing w:before="156" w:beforeLines="50" w:after="156" w:afterLines="50" w:line="460" w:lineRule="exact"/>
              <w:ind w:firstLine="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联合体投标：□允许  </w:t>
            </w: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1"/>
              <w:spacing w:before="156" w:beforeLines="50" w:after="156" w:afterLines="50" w:line="440" w:lineRule="exact"/>
              <w:ind w:firstLine="0"/>
              <w:jc w:val="center"/>
              <w:rPr>
                <w:rFonts w:ascii="仿宋" w:hAnsi="仿宋" w:eastAsia="仿宋" w:cs="仿宋"/>
                <w:color w:val="auto"/>
                <w:sz w:val="28"/>
                <w:szCs w:val="28"/>
              </w:rPr>
            </w:pPr>
            <w:r>
              <w:rPr>
                <w:rFonts w:hint="eastAsia" w:ascii="仿宋" w:hAnsi="仿宋" w:eastAsia="仿宋" w:cs="仿宋"/>
                <w:color w:val="auto"/>
                <w:sz w:val="28"/>
                <w:szCs w:val="28"/>
              </w:rPr>
              <w:t>6</w:t>
            </w:r>
          </w:p>
        </w:tc>
        <w:tc>
          <w:tcPr>
            <w:tcW w:w="7915" w:type="dxa"/>
            <w:tcBorders>
              <w:top w:val="single" w:color="auto" w:sz="4" w:space="0"/>
              <w:left w:val="single" w:color="auto" w:sz="4" w:space="0"/>
              <w:bottom w:val="single" w:color="auto" w:sz="4" w:space="0"/>
              <w:right w:val="single" w:color="auto" w:sz="4" w:space="0"/>
            </w:tcBorders>
          </w:tcPr>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1"/>
              <w:spacing w:before="156" w:beforeLines="50" w:after="156" w:afterLines="50" w:line="440" w:lineRule="exact"/>
              <w:ind w:firstLine="0"/>
              <w:jc w:val="center"/>
              <w:rPr>
                <w:rFonts w:ascii="仿宋" w:hAnsi="仿宋" w:eastAsia="仿宋" w:cs="仿宋"/>
                <w:color w:val="auto"/>
                <w:sz w:val="28"/>
                <w:szCs w:val="28"/>
              </w:rPr>
            </w:pPr>
            <w:r>
              <w:rPr>
                <w:rFonts w:hint="eastAsia" w:ascii="仿宋" w:hAnsi="仿宋" w:eastAsia="仿宋" w:cs="仿宋"/>
                <w:color w:val="auto"/>
                <w:sz w:val="28"/>
                <w:szCs w:val="28"/>
              </w:rPr>
              <w:t>7</w:t>
            </w:r>
          </w:p>
        </w:tc>
        <w:tc>
          <w:tcPr>
            <w:tcW w:w="791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竞标文件份数：正本壹份，副本贰份（正副本叙述有差异时以正本为准），密封提交。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1"/>
              <w:spacing w:before="156" w:beforeLines="50" w:after="156" w:afterLines="50" w:line="440" w:lineRule="exact"/>
              <w:ind w:firstLine="0"/>
              <w:jc w:val="center"/>
              <w:rPr>
                <w:rFonts w:ascii="仿宋" w:hAnsi="仿宋" w:eastAsia="仿宋" w:cs="仿宋"/>
                <w:color w:val="auto"/>
                <w:sz w:val="28"/>
                <w:szCs w:val="28"/>
              </w:rPr>
            </w:pPr>
            <w:r>
              <w:rPr>
                <w:rFonts w:hint="eastAsia" w:ascii="仿宋" w:hAnsi="仿宋" w:eastAsia="仿宋" w:cs="仿宋"/>
                <w:color w:val="auto"/>
                <w:sz w:val="28"/>
                <w:szCs w:val="28"/>
              </w:rPr>
              <w:t>8</w:t>
            </w:r>
          </w:p>
        </w:tc>
        <w:tc>
          <w:tcPr>
            <w:tcW w:w="7915" w:type="dxa"/>
            <w:tcBorders>
              <w:top w:val="single" w:color="auto" w:sz="4" w:space="0"/>
              <w:left w:val="single" w:color="auto" w:sz="4" w:space="0"/>
              <w:bottom w:val="single" w:color="auto" w:sz="4" w:space="0"/>
              <w:right w:val="single" w:color="auto" w:sz="4" w:space="0"/>
            </w:tcBorders>
          </w:tcPr>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招标评定方法：综合评分法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1"/>
              <w:spacing w:before="156" w:beforeLines="50" w:after="156" w:afterLines="50" w:line="440" w:lineRule="exact"/>
              <w:ind w:firstLine="0"/>
              <w:jc w:val="center"/>
              <w:rPr>
                <w:rFonts w:ascii="仿宋" w:hAnsi="仿宋" w:eastAsia="仿宋" w:cs="仿宋"/>
                <w:color w:val="auto"/>
                <w:sz w:val="28"/>
                <w:szCs w:val="28"/>
              </w:rPr>
            </w:pPr>
            <w:r>
              <w:rPr>
                <w:rFonts w:hint="eastAsia" w:ascii="仿宋" w:hAnsi="仿宋" w:eastAsia="仿宋" w:cs="仿宋"/>
                <w:color w:val="auto"/>
                <w:sz w:val="28"/>
                <w:szCs w:val="28"/>
              </w:rPr>
              <w:t>9</w:t>
            </w:r>
          </w:p>
        </w:tc>
        <w:tc>
          <w:tcPr>
            <w:tcW w:w="7915" w:type="dxa"/>
            <w:tcBorders>
              <w:top w:val="single" w:color="auto" w:sz="4" w:space="0"/>
              <w:left w:val="single" w:color="auto" w:sz="4" w:space="0"/>
              <w:bottom w:val="single" w:color="auto" w:sz="4" w:space="0"/>
              <w:right w:val="single" w:color="auto" w:sz="4" w:space="0"/>
            </w:tcBorders>
          </w:tcPr>
          <w:p>
            <w:pPr>
              <w:pStyle w:val="11"/>
              <w:spacing w:before="156" w:beforeLines="50" w:after="156" w:afterLines="50" w:line="460" w:lineRule="exact"/>
              <w:ind w:firstLine="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招标内容：合肥市第四中学官方网站系统网络安全等级保护测评</w:t>
            </w:r>
          </w:p>
          <w:p>
            <w:pPr>
              <w:pStyle w:val="11"/>
              <w:spacing w:before="156" w:beforeLines="50" w:after="156" w:afterLines="50" w:line="460" w:lineRule="exact"/>
              <w:ind w:firstLine="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合同有效期：签订之日起两年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9"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1"/>
              <w:spacing w:before="156" w:beforeLines="50" w:after="156" w:afterLines="50" w:line="440" w:lineRule="exact"/>
              <w:ind w:firstLine="0"/>
              <w:jc w:val="center"/>
              <w:rPr>
                <w:rFonts w:ascii="仿宋" w:hAnsi="仿宋" w:eastAsia="仿宋" w:cs="仿宋"/>
                <w:color w:val="auto"/>
                <w:sz w:val="28"/>
                <w:szCs w:val="28"/>
              </w:rPr>
            </w:pPr>
            <w:r>
              <w:rPr>
                <w:rFonts w:hint="eastAsia" w:ascii="仿宋" w:hAnsi="仿宋" w:eastAsia="仿宋" w:cs="仿宋"/>
                <w:color w:val="auto"/>
                <w:sz w:val="28"/>
                <w:szCs w:val="28"/>
              </w:rPr>
              <w:t>10</w:t>
            </w:r>
          </w:p>
        </w:tc>
        <w:tc>
          <w:tcPr>
            <w:tcW w:w="7915" w:type="dxa"/>
            <w:tcBorders>
              <w:top w:val="single" w:color="auto" w:sz="4" w:space="0"/>
              <w:left w:val="single" w:color="auto" w:sz="4" w:space="0"/>
              <w:bottom w:val="single" w:color="auto" w:sz="4" w:space="0"/>
              <w:right w:val="single" w:color="auto" w:sz="4" w:space="0"/>
            </w:tcBorders>
          </w:tcPr>
          <w:p>
            <w:pPr>
              <w:pStyle w:val="11"/>
              <w:spacing w:before="156" w:beforeLines="50" w:after="156" w:afterLines="50" w:line="460" w:lineRule="exact"/>
              <w:ind w:firstLine="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备注：投标人自行踏勘现场，结合现场踏勘情况。</w:t>
            </w:r>
          </w:p>
        </w:tc>
      </w:tr>
    </w:tbl>
    <w:p>
      <w:pPr>
        <w:ind w:firstLine="640" w:firstLineChars="200"/>
        <w:rPr>
          <w:rFonts w:ascii="仿宋_GB2312" w:hAnsi="仿宋_GB2312" w:eastAsia="仿宋_GB2312" w:cs="仿宋_GB2312"/>
          <w:color w:val="000000"/>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二、项目要求及系统情况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1.要求投标单位为信息系统进行前期分析评估和优化加固服务以及后期巡检、测试、等级测评等服务内容。服务的总体目的是通过专业技术服务团队分步、有序、扎实、全面的对</w:t>
      </w:r>
      <w:r>
        <w:rPr>
          <w:rFonts w:hint="eastAsia" w:ascii="仿宋_GB2312" w:hAnsi="仿宋_GB2312" w:eastAsia="仿宋_GB2312" w:cs="仿宋_GB2312"/>
          <w:color w:val="000000"/>
          <w:sz w:val="32"/>
          <w:szCs w:val="32"/>
        </w:rPr>
        <w:t>合肥市第四中学官方网站系统</w:t>
      </w:r>
      <w:r>
        <w:rPr>
          <w:rFonts w:hint="eastAsia" w:ascii="仿宋_GB2312" w:hAnsi="仿宋_GB2312" w:eastAsia="仿宋_GB2312" w:cs="仿宋_GB2312"/>
          <w:sz w:val="32"/>
          <w:szCs w:val="32"/>
        </w:rPr>
        <w:t>进行深入的分析评估，理清各种基础数据和运行情况，发现各种问题和隐患，在此基础上提供针对性的整改建议，配合</w:t>
      </w:r>
      <w:r>
        <w:rPr>
          <w:rFonts w:hint="eastAsia" w:ascii="仿宋_GB2312" w:hAnsi="仿宋_GB2312" w:eastAsia="仿宋_GB2312" w:cs="仿宋_GB2312"/>
          <w:color w:val="000000"/>
          <w:sz w:val="32"/>
          <w:szCs w:val="32"/>
        </w:rPr>
        <w:t>合肥市第四中学对官方网站系统</w:t>
      </w:r>
      <w:r>
        <w:rPr>
          <w:rFonts w:hint="eastAsia" w:ascii="仿宋_GB2312" w:hAnsi="仿宋_GB2312" w:eastAsia="仿宋_GB2312" w:cs="仿宋_GB2312"/>
          <w:sz w:val="32"/>
          <w:szCs w:val="32"/>
        </w:rPr>
        <w:t>提供后期运行全过程支持服务。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2.后期按照国家信息安全等级保护制度的要求，为</w:t>
      </w:r>
      <w:r>
        <w:rPr>
          <w:rFonts w:hint="eastAsia" w:ascii="仿宋_GB2312" w:hAnsi="仿宋_GB2312" w:eastAsia="仿宋_GB2312" w:cs="仿宋_GB2312"/>
          <w:color w:val="000000"/>
          <w:sz w:val="32"/>
          <w:szCs w:val="32"/>
        </w:rPr>
        <w:t>合肥市第四中学</w:t>
      </w:r>
      <w:r>
        <w:rPr>
          <w:rFonts w:hint="eastAsia" w:ascii="仿宋_GB2312" w:hAnsi="仿宋_GB2312" w:eastAsia="仿宋_GB2312" w:cs="仿宋_GB2312"/>
          <w:sz w:val="32"/>
          <w:szCs w:val="32"/>
        </w:rPr>
        <w:t>在推进信息安全等级保护工作过程中监督、检查、指导等提供专业技术支持，并提供相关技术咨询服务、信息安全技术培训、信息系统（网络）安全性测评、信息系统安全方案咨询和评审等。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3.根据中华人民共和国国家标准《GB/T 22239-</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 xml:space="preserve"> 信息安全等级保护基本要求》、《GB/T22240-20</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信息安全技术信息系统安全等级保护定级指南》以及有关文件要求，将对以下信息系统等级保护测评项目进行</w:t>
      </w:r>
      <w:r>
        <w:rPr>
          <w:rFonts w:hint="eastAsia" w:ascii="仿宋_GB2312" w:hAnsi="仿宋_GB2312" w:eastAsia="仿宋_GB2312" w:cs="仿宋_GB2312"/>
          <w:b/>
          <w:bCs/>
          <w:sz w:val="32"/>
          <w:szCs w:val="32"/>
        </w:rPr>
        <w:t>公开招标</w:t>
      </w:r>
      <w:r>
        <w:rPr>
          <w:rFonts w:hint="eastAsia" w:ascii="仿宋_GB2312" w:hAnsi="仿宋_GB2312" w:eastAsia="仿宋_GB2312" w:cs="仿宋_GB2312"/>
          <w:sz w:val="32"/>
          <w:szCs w:val="32"/>
        </w:rPr>
        <w:t>。</w:t>
      </w:r>
    </w:p>
    <w:tbl>
      <w:tblPr>
        <w:tblStyle w:val="17"/>
        <w:tblW w:w="8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3592"/>
        <w:gridCol w:w="831"/>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9" w:hRule="atLeast"/>
          <w:jc w:val="center"/>
        </w:trPr>
        <w:tc>
          <w:tcPr>
            <w:tcW w:w="955" w:type="dxa"/>
            <w:shd w:val="clear" w:color="auto" w:fill="auto"/>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3592" w:type="dxa"/>
            <w:shd w:val="clear" w:color="auto" w:fill="auto"/>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系统名称</w:t>
            </w:r>
          </w:p>
        </w:tc>
        <w:tc>
          <w:tcPr>
            <w:tcW w:w="831" w:type="dxa"/>
            <w:shd w:val="clear" w:color="auto" w:fill="auto"/>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等级</w:t>
            </w:r>
          </w:p>
        </w:tc>
        <w:tc>
          <w:tcPr>
            <w:tcW w:w="2767" w:type="dxa"/>
            <w:shd w:val="clear" w:color="auto" w:fill="auto"/>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9" w:hRule="atLeast"/>
          <w:jc w:val="center"/>
        </w:trPr>
        <w:tc>
          <w:tcPr>
            <w:tcW w:w="955" w:type="dxa"/>
            <w:shd w:val="clear" w:color="auto" w:fill="auto"/>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3592" w:type="dxa"/>
            <w:shd w:val="clear" w:color="auto" w:fill="auto"/>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合肥市第四中学官方网站系统</w:t>
            </w:r>
          </w:p>
        </w:tc>
        <w:tc>
          <w:tcPr>
            <w:tcW w:w="831" w:type="dxa"/>
            <w:shd w:val="clear" w:color="auto" w:fill="auto"/>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二级</w:t>
            </w:r>
          </w:p>
        </w:tc>
        <w:tc>
          <w:tcPr>
            <w:tcW w:w="2767" w:type="dxa"/>
            <w:shd w:val="clear" w:color="auto" w:fill="auto"/>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等级保护测评服务</w:t>
            </w:r>
          </w:p>
        </w:tc>
      </w:tr>
    </w:tbl>
    <w:p>
      <w:pPr>
        <w:ind w:firstLine="640" w:firstLineChars="200"/>
        <w:rPr>
          <w:rFonts w:ascii="黑体" w:hAnsi="黑体" w:eastAsia="黑体" w:cs="黑体"/>
          <w:sz w:val="32"/>
          <w:szCs w:val="32"/>
        </w:rPr>
      </w:pPr>
      <w:r>
        <w:rPr>
          <w:rFonts w:hint="eastAsia" w:ascii="黑体" w:hAnsi="黑体" w:eastAsia="黑体" w:cs="黑体"/>
          <w:sz w:val="32"/>
          <w:szCs w:val="32"/>
        </w:rPr>
        <w:t>三、测评要求</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依据国家相关文件、标准、系统安全保护等级和《信息系统安全等级保护测评要求》对被测系统进行等级保护测评。</w:t>
      </w:r>
    </w:p>
    <w:p>
      <w:pPr>
        <w:ind w:firstLine="640" w:firstLineChars="200"/>
        <w:rPr>
          <w:rFonts w:ascii="楷体_GB2312" w:hAnsi="楷体_GB2312" w:eastAsia="楷体_GB2312" w:cs="楷体_GB2312"/>
          <w:sz w:val="32"/>
          <w:szCs w:val="36"/>
        </w:rPr>
      </w:pPr>
      <w:r>
        <w:rPr>
          <w:rFonts w:hint="eastAsia" w:ascii="楷体_GB2312" w:hAnsi="楷体_GB2312" w:eastAsia="楷体_GB2312" w:cs="楷体_GB2312"/>
          <w:sz w:val="32"/>
          <w:szCs w:val="36"/>
        </w:rPr>
        <w:t>1. 等级保护测评内容</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等级保护测评内容主要包括以下几个方面：</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（1）安全技术测评：包括安全物理环境、安全通信网络、安全区域边界、安全计算环境、安全管理中心等五个方面的安全测评。</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（2）安全管理测评：包括安全管理制度、安全管理机构、安全管理人员、安全建设管理、安全运维管理等五个方面的安全测评。</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（3）形成差距分析报告：依据测评结果和《信息系统安全等级保护基本要求》（GB /T 22239-20</w:t>
      </w:r>
      <w:r>
        <w:rPr>
          <w:rFonts w:ascii="仿宋_GB2312" w:hAnsi="仿宋_GB2312" w:eastAsia="仿宋_GB2312" w:cs="仿宋_GB2312"/>
          <w:sz w:val="32"/>
          <w:szCs w:val="36"/>
        </w:rPr>
        <w:t>19</w:t>
      </w:r>
      <w:r>
        <w:rPr>
          <w:rFonts w:hint="eastAsia" w:ascii="仿宋_GB2312" w:hAnsi="仿宋_GB2312" w:eastAsia="仿宋_GB2312" w:cs="仿宋_GB2312"/>
          <w:sz w:val="32"/>
          <w:szCs w:val="36"/>
        </w:rPr>
        <w:t>），对各信息系统进行安全现状分析，形成相应的差距分析报告。</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（4）编制系统安全整改方案：依据《信息系统安全等级保护基本要求》和《信息系统等级保护安全设计技术要求》，结合差距分析结果，编制针对各信息系统的安全整改建设方案。</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5）编制和完善安全管理制度：依据《信息系统安全等级保护基本要求》和《信息系统等级保护安全设计技术要求》，协助建设方制订和完善各项信息安全管理制度，规范信息安全日常管理工作，提高信息安全基础管理水平。</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w:t>
      </w:r>
      <w:r>
        <w:rPr>
          <w:rFonts w:ascii="仿宋_GB2312" w:hAnsi="仿宋_GB2312" w:eastAsia="仿宋_GB2312" w:cs="仿宋_GB2312"/>
          <w:sz w:val="32"/>
          <w:szCs w:val="36"/>
        </w:rPr>
        <w:t>6</w:t>
      </w:r>
      <w:r>
        <w:rPr>
          <w:rFonts w:hint="eastAsia" w:ascii="仿宋_GB2312" w:hAnsi="仿宋_GB2312" w:eastAsia="仿宋_GB2312" w:cs="仿宋_GB2312"/>
          <w:sz w:val="32"/>
          <w:szCs w:val="36"/>
        </w:rPr>
        <w:t>）编制等级测评报告：完成上述测评工作和建设方实施整改后，出具符合公安机关要求的（年度）信息系统安全保护等级测评报告。</w:t>
      </w:r>
    </w:p>
    <w:p>
      <w:pPr>
        <w:ind w:firstLine="640" w:firstLineChars="200"/>
        <w:rPr>
          <w:rFonts w:ascii="楷体_GB2312" w:hAnsi="楷体_GB2312" w:eastAsia="楷体_GB2312" w:cs="楷体_GB2312"/>
          <w:sz w:val="32"/>
          <w:szCs w:val="36"/>
        </w:rPr>
      </w:pPr>
      <w:r>
        <w:rPr>
          <w:rFonts w:hint="eastAsia" w:ascii="楷体_GB2312" w:hAnsi="楷体_GB2312" w:eastAsia="楷体_GB2312" w:cs="楷体_GB2312"/>
          <w:sz w:val="32"/>
          <w:szCs w:val="36"/>
        </w:rPr>
        <w:t>2.其他要求</w:t>
      </w:r>
    </w:p>
    <w:p>
      <w:pPr>
        <w:ind w:firstLine="640" w:firstLineChars="200"/>
        <w:rPr>
          <w:rFonts w:ascii="仿宋_GB2312" w:hAnsi="仿宋_GB2312" w:eastAsia="仿宋_GB2312" w:cs="仿宋_GB2312"/>
          <w:sz w:val="32"/>
          <w:szCs w:val="36"/>
        </w:rPr>
      </w:pPr>
      <w:bookmarkStart w:id="0" w:name="_Toc447895439"/>
      <w:r>
        <w:rPr>
          <w:rFonts w:hint="eastAsia" w:ascii="仿宋_GB2312" w:hAnsi="仿宋_GB2312" w:eastAsia="仿宋_GB2312" w:cs="仿宋_GB2312"/>
          <w:sz w:val="32"/>
          <w:szCs w:val="36"/>
        </w:rPr>
        <w:t>（1）工期要求</w:t>
      </w:r>
      <w:bookmarkEnd w:id="0"/>
    </w:p>
    <w:p>
      <w:pPr>
        <w:ind w:firstLine="640" w:firstLineChars="200"/>
        <w:rPr>
          <w:rFonts w:ascii="仿宋_GB2312" w:hAnsi="仿宋_GB2312" w:eastAsia="仿宋_GB2312" w:cs="仿宋_GB2312"/>
          <w:sz w:val="32"/>
          <w:szCs w:val="36"/>
        </w:rPr>
      </w:pPr>
      <w:bookmarkStart w:id="1" w:name="_Toc447895440"/>
      <w:r>
        <w:rPr>
          <w:rFonts w:hint="eastAsia" w:ascii="仿宋_GB2312" w:hAnsi="仿宋_GB2312" w:eastAsia="仿宋_GB2312" w:cs="仿宋_GB2312"/>
          <w:sz w:val="32"/>
          <w:szCs w:val="36"/>
        </w:rPr>
        <w:t>中标供应商应于中标后10个工作日内进场测评，30个工作日内出具测评报告；因甲方整改要求，可适当延迟，但最长不超过180个工作日。</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（2）报价要求</w:t>
      </w:r>
      <w:bookmarkEnd w:id="1"/>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报价应包含完成该项目所发生的一切费用，包括但不限于现场调查考察费、基础资料收集费、方案咨询人员差旅费，税金、保险、交通费、通信费、办公费、人员生活费等各项费用。采购人将不予支付投标人任何其他费用，并认为此项目的费用已包括在投标报价中。</w:t>
      </w:r>
    </w:p>
    <w:p>
      <w:pPr>
        <w:ind w:firstLine="640" w:firstLineChars="200"/>
        <w:rPr>
          <w:rFonts w:ascii="黑体" w:hAnsi="黑体" w:eastAsia="黑体" w:cs="黑体"/>
          <w:sz w:val="32"/>
          <w:szCs w:val="32"/>
        </w:rPr>
      </w:pPr>
      <w:r>
        <w:rPr>
          <w:rFonts w:hint="eastAsia" w:ascii="黑体" w:hAnsi="黑体" w:eastAsia="黑体" w:cs="黑体"/>
          <w:sz w:val="32"/>
          <w:szCs w:val="32"/>
        </w:rPr>
        <w:t>四、测评服务成果验证</w:t>
      </w:r>
    </w:p>
    <w:p>
      <w:pPr>
        <w:ind w:firstLine="643" w:firstLineChars="201"/>
        <w:rPr>
          <w:rFonts w:ascii="仿宋_GB2312" w:hAnsi="仿宋_GB2312" w:eastAsia="仿宋_GB2312" w:cs="仿宋_GB2312"/>
          <w:sz w:val="32"/>
          <w:szCs w:val="36"/>
        </w:rPr>
      </w:pPr>
      <w:r>
        <w:rPr>
          <w:rFonts w:hint="eastAsia" w:ascii="仿宋_GB2312" w:hAnsi="仿宋_GB2312" w:eastAsia="仿宋_GB2312" w:cs="仿宋_GB2312"/>
          <w:sz w:val="32"/>
          <w:szCs w:val="36"/>
        </w:rPr>
        <w:t>投标方技术文件中须清晰陈述其在项目各阶段拟实现的项目成果的构成和形式、项目成果验证方法、项目成果的呈报及验收程序与活动的组织方式等。</w:t>
      </w:r>
      <w:r>
        <w:rPr>
          <w:rFonts w:hint="eastAsia" w:ascii="仿宋_GB2312" w:hAnsi="仿宋_GB2312" w:eastAsia="仿宋_GB2312" w:cs="仿宋_GB2312"/>
          <w:b/>
          <w:bCs/>
          <w:sz w:val="32"/>
          <w:szCs w:val="36"/>
        </w:rPr>
        <w:t>包含但不限于以下成果</w:t>
      </w:r>
      <w:r>
        <w:rPr>
          <w:rFonts w:hint="eastAsia" w:ascii="仿宋_GB2312" w:hAnsi="仿宋_GB2312" w:eastAsia="仿宋_GB2312" w:cs="仿宋_GB2312"/>
          <w:sz w:val="32"/>
          <w:szCs w:val="36"/>
        </w:rPr>
        <w:t>：</w:t>
      </w:r>
    </w:p>
    <w:tbl>
      <w:tblPr>
        <w:tblStyle w:val="17"/>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161"/>
        <w:gridCol w:w="1845"/>
        <w:gridCol w:w="5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849" w:type="dxa"/>
            <w:shd w:val="clear" w:color="auto" w:fill="D9D9D9"/>
            <w:vAlign w:val="center"/>
          </w:tcPr>
          <w:p>
            <w:pPr>
              <w:spacing w:line="360" w:lineRule="auto"/>
              <w:jc w:val="center"/>
              <w:rPr>
                <w:rFonts w:ascii="宋体" w:hAnsi="宋体"/>
                <w:b/>
                <w:bCs/>
                <w:color w:val="000000"/>
                <w:sz w:val="24"/>
                <w:szCs w:val="28"/>
              </w:rPr>
            </w:pPr>
            <w:r>
              <w:rPr>
                <w:rFonts w:hint="eastAsia" w:ascii="宋体" w:hAnsi="宋体"/>
                <w:b/>
                <w:bCs/>
                <w:color w:val="000000"/>
                <w:sz w:val="24"/>
                <w:szCs w:val="28"/>
              </w:rPr>
              <w:t>序号</w:t>
            </w:r>
          </w:p>
        </w:tc>
        <w:tc>
          <w:tcPr>
            <w:tcW w:w="1161" w:type="dxa"/>
            <w:shd w:val="clear" w:color="auto" w:fill="D9D9D9"/>
            <w:vAlign w:val="center"/>
          </w:tcPr>
          <w:p>
            <w:pPr>
              <w:spacing w:line="360" w:lineRule="auto"/>
              <w:jc w:val="center"/>
              <w:rPr>
                <w:rFonts w:ascii="宋体" w:hAnsi="宋体"/>
                <w:b/>
                <w:bCs/>
                <w:color w:val="000000"/>
                <w:sz w:val="24"/>
                <w:szCs w:val="28"/>
              </w:rPr>
            </w:pPr>
            <w:r>
              <w:rPr>
                <w:rFonts w:hint="eastAsia" w:ascii="宋体" w:hAnsi="宋体"/>
                <w:b/>
                <w:bCs/>
                <w:color w:val="000000"/>
                <w:sz w:val="24"/>
                <w:szCs w:val="28"/>
              </w:rPr>
              <w:t>工作阶段</w:t>
            </w:r>
          </w:p>
        </w:tc>
        <w:tc>
          <w:tcPr>
            <w:tcW w:w="1845" w:type="dxa"/>
            <w:shd w:val="clear" w:color="auto" w:fill="D9D9D9"/>
            <w:vAlign w:val="center"/>
          </w:tcPr>
          <w:p>
            <w:pPr>
              <w:spacing w:line="360" w:lineRule="auto"/>
              <w:jc w:val="center"/>
              <w:rPr>
                <w:rFonts w:ascii="宋体" w:hAnsi="宋体"/>
                <w:b/>
                <w:bCs/>
                <w:color w:val="000000"/>
                <w:sz w:val="24"/>
                <w:szCs w:val="28"/>
              </w:rPr>
            </w:pPr>
            <w:r>
              <w:rPr>
                <w:rFonts w:hint="eastAsia" w:ascii="宋体" w:hAnsi="宋体"/>
                <w:b/>
                <w:bCs/>
                <w:color w:val="000000"/>
                <w:sz w:val="24"/>
                <w:szCs w:val="28"/>
              </w:rPr>
              <w:t>项目成果</w:t>
            </w:r>
          </w:p>
          <w:p>
            <w:pPr>
              <w:spacing w:line="360" w:lineRule="auto"/>
              <w:jc w:val="center"/>
              <w:rPr>
                <w:rFonts w:ascii="宋体" w:hAnsi="宋体"/>
                <w:b/>
                <w:bCs/>
                <w:color w:val="000000"/>
                <w:sz w:val="24"/>
                <w:szCs w:val="28"/>
              </w:rPr>
            </w:pPr>
            <w:r>
              <w:rPr>
                <w:rFonts w:hint="eastAsia" w:ascii="宋体" w:hAnsi="宋体"/>
                <w:b/>
                <w:bCs/>
                <w:color w:val="000000"/>
                <w:sz w:val="24"/>
                <w:szCs w:val="28"/>
              </w:rPr>
              <w:t>构成和形式</w:t>
            </w:r>
          </w:p>
        </w:tc>
        <w:tc>
          <w:tcPr>
            <w:tcW w:w="5430" w:type="dxa"/>
            <w:shd w:val="clear" w:color="auto" w:fill="D9D9D9"/>
            <w:vAlign w:val="center"/>
          </w:tcPr>
          <w:p>
            <w:pPr>
              <w:spacing w:line="360" w:lineRule="auto"/>
              <w:jc w:val="center"/>
              <w:rPr>
                <w:rFonts w:ascii="宋体" w:hAnsi="宋体"/>
                <w:b/>
                <w:bCs/>
                <w:color w:val="000000"/>
                <w:sz w:val="24"/>
                <w:szCs w:val="28"/>
              </w:rPr>
            </w:pPr>
            <w:r>
              <w:rPr>
                <w:rFonts w:hint="eastAsia" w:ascii="宋体" w:hAnsi="宋体"/>
                <w:b/>
                <w:bCs/>
                <w:color w:val="000000"/>
                <w:sz w:val="24"/>
                <w:szCs w:val="28"/>
              </w:rPr>
              <w:t>项目成果验证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 w:type="dxa"/>
            <w:vAlign w:val="center"/>
          </w:tcPr>
          <w:p>
            <w:pPr>
              <w:spacing w:line="360" w:lineRule="auto"/>
              <w:rPr>
                <w:rFonts w:ascii="宋体" w:hAnsi="宋体"/>
                <w:color w:val="000000"/>
                <w:sz w:val="24"/>
                <w:szCs w:val="28"/>
              </w:rPr>
            </w:pPr>
            <w:r>
              <w:rPr>
                <w:rFonts w:hint="eastAsia" w:ascii="宋体" w:hAnsi="宋体"/>
                <w:color w:val="000000"/>
                <w:sz w:val="24"/>
                <w:szCs w:val="28"/>
              </w:rPr>
              <w:t>1</w:t>
            </w:r>
          </w:p>
        </w:tc>
        <w:tc>
          <w:tcPr>
            <w:tcW w:w="1161" w:type="dxa"/>
            <w:vMerge w:val="restart"/>
            <w:vAlign w:val="center"/>
          </w:tcPr>
          <w:p>
            <w:pPr>
              <w:spacing w:line="360" w:lineRule="auto"/>
              <w:rPr>
                <w:rFonts w:ascii="宋体" w:hAnsi="宋体"/>
                <w:color w:val="000000"/>
                <w:sz w:val="24"/>
                <w:szCs w:val="28"/>
              </w:rPr>
            </w:pPr>
            <w:r>
              <w:rPr>
                <w:rFonts w:hint="eastAsia" w:ascii="宋体" w:hAnsi="宋体"/>
                <w:color w:val="000000"/>
                <w:sz w:val="24"/>
                <w:szCs w:val="28"/>
              </w:rPr>
              <w:t>测试准备</w:t>
            </w:r>
          </w:p>
        </w:tc>
        <w:tc>
          <w:tcPr>
            <w:tcW w:w="1845" w:type="dxa"/>
            <w:vAlign w:val="center"/>
          </w:tcPr>
          <w:p>
            <w:pPr>
              <w:spacing w:line="360" w:lineRule="auto"/>
              <w:rPr>
                <w:rFonts w:ascii="宋体" w:hAnsi="宋体"/>
                <w:color w:val="000000"/>
                <w:sz w:val="24"/>
                <w:szCs w:val="28"/>
              </w:rPr>
            </w:pPr>
            <w:r>
              <w:rPr>
                <w:rFonts w:hint="eastAsia" w:ascii="宋体" w:hAnsi="宋体"/>
                <w:color w:val="000000"/>
                <w:sz w:val="24"/>
                <w:szCs w:val="28"/>
              </w:rPr>
              <w:t>等级测评项目</w:t>
            </w:r>
          </w:p>
          <w:p>
            <w:pPr>
              <w:spacing w:line="360" w:lineRule="auto"/>
              <w:rPr>
                <w:rFonts w:ascii="宋体" w:hAnsi="宋体"/>
                <w:color w:val="000000"/>
                <w:sz w:val="24"/>
                <w:szCs w:val="28"/>
              </w:rPr>
            </w:pPr>
            <w:r>
              <w:rPr>
                <w:rFonts w:hint="eastAsia" w:ascii="宋体" w:hAnsi="宋体"/>
                <w:color w:val="000000"/>
                <w:sz w:val="24"/>
                <w:szCs w:val="28"/>
              </w:rPr>
              <w:t>启动</w:t>
            </w:r>
          </w:p>
        </w:tc>
        <w:tc>
          <w:tcPr>
            <w:tcW w:w="5430" w:type="dxa"/>
          </w:tcPr>
          <w:p>
            <w:pPr>
              <w:spacing w:line="360" w:lineRule="auto"/>
              <w:rPr>
                <w:rFonts w:ascii="宋体" w:hAnsi="宋体"/>
                <w:color w:val="000000"/>
                <w:sz w:val="24"/>
                <w:szCs w:val="28"/>
              </w:rPr>
            </w:pPr>
            <w:r>
              <w:rPr>
                <w:rFonts w:hint="eastAsia" w:ascii="宋体" w:hAnsi="宋体"/>
                <w:color w:val="000000"/>
                <w:sz w:val="24"/>
                <w:szCs w:val="28"/>
              </w:rPr>
              <w:t>应包含测试的进度安排、人力资源计划、质量保证、风险管理、沟通管理等内容。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 w:type="dxa"/>
            <w:vAlign w:val="center"/>
          </w:tcPr>
          <w:p>
            <w:pPr>
              <w:spacing w:line="360" w:lineRule="auto"/>
              <w:rPr>
                <w:rFonts w:ascii="宋体" w:hAnsi="宋体"/>
                <w:color w:val="000000"/>
                <w:sz w:val="24"/>
                <w:szCs w:val="28"/>
              </w:rPr>
            </w:pPr>
            <w:r>
              <w:rPr>
                <w:rFonts w:hint="eastAsia" w:ascii="宋体" w:hAnsi="宋体"/>
                <w:color w:val="000000"/>
                <w:sz w:val="24"/>
                <w:szCs w:val="28"/>
              </w:rPr>
              <w:t>2</w:t>
            </w:r>
          </w:p>
        </w:tc>
        <w:tc>
          <w:tcPr>
            <w:tcW w:w="1161" w:type="dxa"/>
            <w:vMerge w:val="continue"/>
            <w:vAlign w:val="center"/>
          </w:tcPr>
          <w:p>
            <w:pPr>
              <w:spacing w:line="360" w:lineRule="auto"/>
              <w:rPr>
                <w:rFonts w:ascii="宋体" w:hAnsi="宋体"/>
                <w:color w:val="000000"/>
                <w:sz w:val="24"/>
                <w:szCs w:val="28"/>
              </w:rPr>
            </w:pPr>
          </w:p>
        </w:tc>
        <w:tc>
          <w:tcPr>
            <w:tcW w:w="1845" w:type="dxa"/>
            <w:vAlign w:val="center"/>
          </w:tcPr>
          <w:p>
            <w:pPr>
              <w:spacing w:line="360" w:lineRule="auto"/>
              <w:rPr>
                <w:rFonts w:ascii="宋体" w:hAnsi="宋体"/>
                <w:color w:val="000000"/>
                <w:sz w:val="24"/>
                <w:szCs w:val="28"/>
              </w:rPr>
            </w:pPr>
            <w:r>
              <w:rPr>
                <w:rFonts w:hint="eastAsia" w:ascii="宋体" w:hAnsi="宋体"/>
                <w:color w:val="000000"/>
                <w:sz w:val="24"/>
                <w:szCs w:val="28"/>
              </w:rPr>
              <w:t>信息收集与分析</w:t>
            </w:r>
          </w:p>
        </w:tc>
        <w:tc>
          <w:tcPr>
            <w:tcW w:w="5430" w:type="dxa"/>
          </w:tcPr>
          <w:p>
            <w:pPr>
              <w:spacing w:line="360" w:lineRule="auto"/>
              <w:rPr>
                <w:rFonts w:ascii="宋体" w:hAnsi="宋体"/>
                <w:color w:val="000000"/>
                <w:sz w:val="24"/>
                <w:szCs w:val="28"/>
              </w:rPr>
            </w:pPr>
            <w:r>
              <w:rPr>
                <w:rFonts w:hint="eastAsia" w:ascii="宋体" w:hAnsi="宋体"/>
                <w:color w:val="000000"/>
                <w:sz w:val="24"/>
                <w:szCs w:val="28"/>
              </w:rPr>
              <w:t>应完成信息收集与分析，形成相关文件。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 w:type="dxa"/>
            <w:vAlign w:val="center"/>
          </w:tcPr>
          <w:p>
            <w:pPr>
              <w:spacing w:line="360" w:lineRule="auto"/>
              <w:rPr>
                <w:rFonts w:ascii="宋体" w:hAnsi="宋体"/>
                <w:color w:val="000000"/>
                <w:sz w:val="24"/>
                <w:szCs w:val="28"/>
              </w:rPr>
            </w:pPr>
            <w:r>
              <w:rPr>
                <w:rFonts w:hint="eastAsia" w:ascii="宋体" w:hAnsi="宋体"/>
                <w:color w:val="000000"/>
                <w:sz w:val="24"/>
                <w:szCs w:val="28"/>
              </w:rPr>
              <w:t>3</w:t>
            </w:r>
          </w:p>
        </w:tc>
        <w:tc>
          <w:tcPr>
            <w:tcW w:w="1161" w:type="dxa"/>
            <w:vMerge w:val="continue"/>
            <w:vAlign w:val="center"/>
          </w:tcPr>
          <w:p>
            <w:pPr>
              <w:spacing w:line="360" w:lineRule="auto"/>
              <w:rPr>
                <w:rFonts w:ascii="宋体" w:hAnsi="宋体"/>
                <w:color w:val="000000"/>
                <w:sz w:val="24"/>
                <w:szCs w:val="28"/>
              </w:rPr>
            </w:pPr>
          </w:p>
        </w:tc>
        <w:tc>
          <w:tcPr>
            <w:tcW w:w="1845" w:type="dxa"/>
            <w:vAlign w:val="center"/>
          </w:tcPr>
          <w:p>
            <w:pPr>
              <w:spacing w:line="360" w:lineRule="auto"/>
              <w:rPr>
                <w:rFonts w:ascii="宋体" w:hAnsi="宋体"/>
                <w:color w:val="000000"/>
                <w:sz w:val="24"/>
                <w:szCs w:val="28"/>
              </w:rPr>
            </w:pPr>
            <w:r>
              <w:rPr>
                <w:rFonts w:hint="eastAsia" w:ascii="宋体" w:hAnsi="宋体"/>
                <w:color w:val="000000"/>
                <w:sz w:val="24"/>
                <w:szCs w:val="28"/>
              </w:rPr>
              <w:t>工具和表单准备</w:t>
            </w:r>
          </w:p>
        </w:tc>
        <w:tc>
          <w:tcPr>
            <w:tcW w:w="5430" w:type="dxa"/>
          </w:tcPr>
          <w:p>
            <w:pPr>
              <w:spacing w:line="360" w:lineRule="auto"/>
              <w:rPr>
                <w:rFonts w:ascii="宋体" w:hAnsi="宋体"/>
                <w:color w:val="000000"/>
                <w:sz w:val="24"/>
                <w:szCs w:val="28"/>
              </w:rPr>
            </w:pPr>
            <w:r>
              <w:rPr>
                <w:rFonts w:hint="eastAsia" w:ascii="宋体" w:hAnsi="宋体"/>
                <w:color w:val="000000"/>
                <w:sz w:val="24"/>
                <w:szCs w:val="28"/>
              </w:rPr>
              <w:t>涉及表单应包含：单位基本情况、参与人员名单、物理环境情况、信息系统基本情况、信息系统承载业务（服务）情况、信息系统网络结构（环境）情况、外联线路及设备端口（网络边界）情况、网络设备情况、安全设备情况、服务器设备情况、终端设备情况、系统软件情况、应用系统软件情况、业务数据情况、数据备份情况、应用系统软件处理流程（多表）、业务数据流程（多表）、管理文档情况、安全威胁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 w:type="dxa"/>
            <w:vAlign w:val="center"/>
          </w:tcPr>
          <w:p>
            <w:pPr>
              <w:spacing w:line="360" w:lineRule="auto"/>
              <w:rPr>
                <w:rFonts w:ascii="宋体" w:hAnsi="宋体"/>
                <w:color w:val="000000"/>
                <w:sz w:val="24"/>
                <w:szCs w:val="28"/>
              </w:rPr>
            </w:pPr>
            <w:r>
              <w:rPr>
                <w:rFonts w:hint="eastAsia" w:ascii="宋体" w:hAnsi="宋体"/>
                <w:color w:val="000000"/>
                <w:sz w:val="24"/>
                <w:szCs w:val="28"/>
              </w:rPr>
              <w:t>4</w:t>
            </w:r>
          </w:p>
        </w:tc>
        <w:tc>
          <w:tcPr>
            <w:tcW w:w="1161" w:type="dxa"/>
            <w:vMerge w:val="restart"/>
            <w:vAlign w:val="center"/>
          </w:tcPr>
          <w:p>
            <w:pPr>
              <w:spacing w:line="360" w:lineRule="auto"/>
              <w:rPr>
                <w:rFonts w:ascii="宋体" w:hAnsi="宋体"/>
                <w:color w:val="000000"/>
                <w:sz w:val="24"/>
                <w:szCs w:val="28"/>
              </w:rPr>
            </w:pPr>
            <w:r>
              <w:rPr>
                <w:rFonts w:hint="eastAsia" w:ascii="宋体" w:hAnsi="宋体"/>
                <w:color w:val="000000"/>
                <w:sz w:val="24"/>
                <w:szCs w:val="28"/>
              </w:rPr>
              <w:t>测评方案编制</w:t>
            </w:r>
          </w:p>
          <w:p>
            <w:pPr>
              <w:spacing w:line="360" w:lineRule="auto"/>
              <w:rPr>
                <w:rFonts w:ascii="宋体" w:hAnsi="宋体"/>
                <w:color w:val="000000"/>
                <w:sz w:val="24"/>
                <w:szCs w:val="28"/>
              </w:rPr>
            </w:pPr>
          </w:p>
        </w:tc>
        <w:tc>
          <w:tcPr>
            <w:tcW w:w="1845" w:type="dxa"/>
            <w:vAlign w:val="center"/>
          </w:tcPr>
          <w:p>
            <w:pPr>
              <w:spacing w:line="360" w:lineRule="auto"/>
              <w:rPr>
                <w:rFonts w:ascii="宋体" w:hAnsi="宋体"/>
                <w:color w:val="000000"/>
                <w:sz w:val="24"/>
                <w:szCs w:val="28"/>
              </w:rPr>
            </w:pPr>
            <w:r>
              <w:rPr>
                <w:rFonts w:hint="eastAsia" w:ascii="宋体" w:hAnsi="宋体"/>
                <w:color w:val="000000"/>
                <w:sz w:val="24"/>
                <w:szCs w:val="28"/>
              </w:rPr>
              <w:t>测评对象确定和测评指标确定</w:t>
            </w:r>
          </w:p>
        </w:tc>
        <w:tc>
          <w:tcPr>
            <w:tcW w:w="5430" w:type="dxa"/>
          </w:tcPr>
          <w:p>
            <w:pPr>
              <w:spacing w:line="360" w:lineRule="auto"/>
              <w:rPr>
                <w:rFonts w:ascii="宋体" w:hAnsi="宋体"/>
                <w:color w:val="000000"/>
                <w:sz w:val="24"/>
                <w:szCs w:val="28"/>
              </w:rPr>
            </w:pPr>
            <w:r>
              <w:rPr>
                <w:rFonts w:hint="eastAsia" w:ascii="宋体" w:hAnsi="宋体"/>
                <w:color w:val="000000"/>
                <w:sz w:val="24"/>
                <w:szCs w:val="28"/>
              </w:rPr>
              <w:t>完成测评对象及测评指标的确定。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 w:type="dxa"/>
            <w:vAlign w:val="center"/>
          </w:tcPr>
          <w:p>
            <w:pPr>
              <w:spacing w:line="360" w:lineRule="auto"/>
              <w:rPr>
                <w:rFonts w:ascii="宋体" w:hAnsi="宋体"/>
                <w:color w:val="000000"/>
                <w:sz w:val="24"/>
                <w:szCs w:val="28"/>
              </w:rPr>
            </w:pPr>
            <w:r>
              <w:rPr>
                <w:rFonts w:hint="eastAsia" w:ascii="宋体" w:hAnsi="宋体"/>
                <w:color w:val="000000"/>
                <w:sz w:val="24"/>
                <w:szCs w:val="28"/>
              </w:rPr>
              <w:t>5</w:t>
            </w:r>
          </w:p>
        </w:tc>
        <w:tc>
          <w:tcPr>
            <w:tcW w:w="1161" w:type="dxa"/>
            <w:vMerge w:val="continue"/>
            <w:vAlign w:val="center"/>
          </w:tcPr>
          <w:p>
            <w:pPr>
              <w:spacing w:line="360" w:lineRule="auto"/>
              <w:rPr>
                <w:rFonts w:ascii="宋体" w:hAnsi="宋体"/>
                <w:color w:val="000000"/>
                <w:sz w:val="24"/>
                <w:szCs w:val="28"/>
              </w:rPr>
            </w:pPr>
          </w:p>
        </w:tc>
        <w:tc>
          <w:tcPr>
            <w:tcW w:w="1845" w:type="dxa"/>
            <w:vAlign w:val="center"/>
          </w:tcPr>
          <w:p>
            <w:pPr>
              <w:spacing w:line="360" w:lineRule="auto"/>
              <w:rPr>
                <w:rFonts w:ascii="宋体" w:hAnsi="宋体"/>
                <w:color w:val="000000"/>
                <w:sz w:val="24"/>
                <w:szCs w:val="28"/>
              </w:rPr>
            </w:pPr>
            <w:r>
              <w:rPr>
                <w:rFonts w:hint="eastAsia" w:ascii="宋体" w:hAnsi="宋体"/>
                <w:color w:val="000000"/>
                <w:sz w:val="24"/>
                <w:szCs w:val="28"/>
              </w:rPr>
              <w:t>测评工具接入点确定</w:t>
            </w:r>
          </w:p>
        </w:tc>
        <w:tc>
          <w:tcPr>
            <w:tcW w:w="5430" w:type="dxa"/>
          </w:tcPr>
          <w:p>
            <w:pPr>
              <w:spacing w:line="360" w:lineRule="auto"/>
              <w:rPr>
                <w:rFonts w:ascii="宋体" w:hAnsi="宋体"/>
                <w:color w:val="000000"/>
                <w:sz w:val="24"/>
                <w:szCs w:val="28"/>
              </w:rPr>
            </w:pPr>
            <w:r>
              <w:rPr>
                <w:rFonts w:hint="eastAsia" w:ascii="宋体" w:hAnsi="宋体"/>
                <w:color w:val="000000"/>
                <w:sz w:val="24"/>
                <w:szCs w:val="28"/>
              </w:rPr>
              <w:t>完成测评工具的接入。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 w:type="dxa"/>
            <w:vAlign w:val="center"/>
          </w:tcPr>
          <w:p>
            <w:pPr>
              <w:spacing w:line="360" w:lineRule="auto"/>
              <w:rPr>
                <w:rFonts w:ascii="宋体" w:hAnsi="宋体"/>
                <w:color w:val="000000"/>
                <w:sz w:val="24"/>
                <w:szCs w:val="28"/>
              </w:rPr>
            </w:pPr>
            <w:r>
              <w:rPr>
                <w:rFonts w:hint="eastAsia" w:ascii="宋体" w:hAnsi="宋体"/>
                <w:color w:val="000000"/>
                <w:sz w:val="24"/>
                <w:szCs w:val="28"/>
              </w:rPr>
              <w:t>6</w:t>
            </w:r>
          </w:p>
        </w:tc>
        <w:tc>
          <w:tcPr>
            <w:tcW w:w="1161" w:type="dxa"/>
            <w:vMerge w:val="continue"/>
            <w:vAlign w:val="center"/>
          </w:tcPr>
          <w:p>
            <w:pPr>
              <w:spacing w:line="360" w:lineRule="auto"/>
              <w:rPr>
                <w:rFonts w:ascii="宋体" w:hAnsi="宋体"/>
                <w:color w:val="000000"/>
                <w:sz w:val="24"/>
                <w:szCs w:val="28"/>
              </w:rPr>
            </w:pPr>
          </w:p>
        </w:tc>
        <w:tc>
          <w:tcPr>
            <w:tcW w:w="1845" w:type="dxa"/>
            <w:vAlign w:val="center"/>
          </w:tcPr>
          <w:p>
            <w:pPr>
              <w:spacing w:line="360" w:lineRule="auto"/>
              <w:rPr>
                <w:rFonts w:ascii="宋体" w:hAnsi="宋体"/>
                <w:color w:val="000000"/>
                <w:sz w:val="24"/>
                <w:szCs w:val="28"/>
              </w:rPr>
            </w:pPr>
            <w:r>
              <w:rPr>
                <w:rFonts w:hint="eastAsia" w:ascii="宋体" w:hAnsi="宋体"/>
                <w:color w:val="000000"/>
                <w:sz w:val="24"/>
                <w:szCs w:val="28"/>
              </w:rPr>
              <w:t>测评指导书开发</w:t>
            </w:r>
          </w:p>
        </w:tc>
        <w:tc>
          <w:tcPr>
            <w:tcW w:w="5430" w:type="dxa"/>
          </w:tcPr>
          <w:p>
            <w:pPr>
              <w:spacing w:line="360" w:lineRule="auto"/>
              <w:rPr>
                <w:rFonts w:ascii="宋体" w:hAnsi="宋体"/>
                <w:color w:val="000000"/>
                <w:sz w:val="24"/>
                <w:szCs w:val="28"/>
              </w:rPr>
            </w:pPr>
            <w:r>
              <w:rPr>
                <w:rFonts w:hint="eastAsia" w:ascii="宋体" w:hAnsi="宋体"/>
                <w:color w:val="000000"/>
                <w:sz w:val="24"/>
                <w:szCs w:val="28"/>
              </w:rPr>
              <w:t>测评指导书应包括：安全管理机构操作指导书、安全管理制度操作指导书、安全管理人员操作指导书、安全建设管理操作指导书、安全运维管理操作指导书、安全物理环境操作指导书、安全通信网络操作指导书、安全区域边界操作指导书、安全计算环境操作指导书、安全管理中心操作指导书、工具测试操作指导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 w:type="dxa"/>
            <w:vAlign w:val="center"/>
          </w:tcPr>
          <w:p>
            <w:pPr>
              <w:spacing w:line="360" w:lineRule="auto"/>
              <w:rPr>
                <w:rFonts w:ascii="宋体" w:hAnsi="宋体"/>
                <w:color w:val="000000"/>
                <w:sz w:val="24"/>
                <w:szCs w:val="28"/>
              </w:rPr>
            </w:pPr>
            <w:r>
              <w:rPr>
                <w:rFonts w:hint="eastAsia" w:ascii="宋体" w:hAnsi="宋体"/>
                <w:color w:val="000000"/>
                <w:sz w:val="24"/>
                <w:szCs w:val="28"/>
              </w:rPr>
              <w:t>7</w:t>
            </w:r>
          </w:p>
        </w:tc>
        <w:tc>
          <w:tcPr>
            <w:tcW w:w="1161" w:type="dxa"/>
            <w:vMerge w:val="continue"/>
            <w:vAlign w:val="center"/>
          </w:tcPr>
          <w:p>
            <w:pPr>
              <w:spacing w:line="360" w:lineRule="auto"/>
              <w:rPr>
                <w:rFonts w:ascii="宋体" w:hAnsi="宋体"/>
                <w:color w:val="000000"/>
                <w:sz w:val="24"/>
                <w:szCs w:val="28"/>
              </w:rPr>
            </w:pPr>
          </w:p>
        </w:tc>
        <w:tc>
          <w:tcPr>
            <w:tcW w:w="1845" w:type="dxa"/>
            <w:vAlign w:val="center"/>
          </w:tcPr>
          <w:p>
            <w:pPr>
              <w:spacing w:line="360" w:lineRule="auto"/>
              <w:rPr>
                <w:rFonts w:ascii="宋体" w:hAnsi="宋体"/>
                <w:color w:val="000000"/>
                <w:sz w:val="24"/>
                <w:szCs w:val="28"/>
              </w:rPr>
            </w:pPr>
            <w:r>
              <w:rPr>
                <w:rFonts w:hint="eastAsia" w:ascii="宋体" w:hAnsi="宋体"/>
                <w:color w:val="000000"/>
                <w:sz w:val="24"/>
                <w:szCs w:val="28"/>
              </w:rPr>
              <w:t>测评方案编制</w:t>
            </w:r>
          </w:p>
        </w:tc>
        <w:tc>
          <w:tcPr>
            <w:tcW w:w="5430" w:type="dxa"/>
          </w:tcPr>
          <w:p>
            <w:pPr>
              <w:spacing w:line="360" w:lineRule="auto"/>
              <w:rPr>
                <w:rFonts w:ascii="宋体" w:hAnsi="宋体"/>
                <w:color w:val="000000"/>
                <w:sz w:val="24"/>
                <w:szCs w:val="28"/>
              </w:rPr>
            </w:pPr>
            <w:r>
              <w:rPr>
                <w:rFonts w:hint="eastAsia" w:ascii="宋体" w:hAnsi="宋体"/>
                <w:color w:val="000000"/>
                <w:sz w:val="24"/>
                <w:szCs w:val="28"/>
              </w:rPr>
              <w:t>测评方案应包括：被测系统描述、测评对象、测评指标、测评工具和接入点、测评内容、测评指导书等。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 w:type="dxa"/>
            <w:vAlign w:val="center"/>
          </w:tcPr>
          <w:p>
            <w:pPr>
              <w:spacing w:line="360" w:lineRule="auto"/>
              <w:rPr>
                <w:rFonts w:ascii="宋体" w:hAnsi="宋体"/>
                <w:color w:val="000000"/>
                <w:sz w:val="24"/>
                <w:szCs w:val="28"/>
              </w:rPr>
            </w:pPr>
            <w:r>
              <w:rPr>
                <w:rFonts w:hint="eastAsia" w:ascii="宋体" w:hAnsi="宋体"/>
                <w:color w:val="000000"/>
                <w:sz w:val="24"/>
                <w:szCs w:val="28"/>
              </w:rPr>
              <w:t>8</w:t>
            </w:r>
          </w:p>
        </w:tc>
        <w:tc>
          <w:tcPr>
            <w:tcW w:w="1161" w:type="dxa"/>
            <w:vMerge w:val="restart"/>
            <w:vAlign w:val="center"/>
          </w:tcPr>
          <w:p>
            <w:pPr>
              <w:spacing w:line="360" w:lineRule="auto"/>
              <w:rPr>
                <w:rFonts w:ascii="宋体" w:hAnsi="宋体"/>
                <w:color w:val="000000"/>
                <w:sz w:val="24"/>
                <w:szCs w:val="28"/>
              </w:rPr>
            </w:pPr>
            <w:r>
              <w:rPr>
                <w:rFonts w:hint="eastAsia" w:ascii="宋体" w:hAnsi="宋体"/>
                <w:color w:val="000000"/>
                <w:sz w:val="24"/>
                <w:szCs w:val="28"/>
              </w:rPr>
              <w:t>现场测评</w:t>
            </w:r>
          </w:p>
        </w:tc>
        <w:tc>
          <w:tcPr>
            <w:tcW w:w="1845" w:type="dxa"/>
            <w:vAlign w:val="center"/>
          </w:tcPr>
          <w:p>
            <w:pPr>
              <w:spacing w:line="360" w:lineRule="auto"/>
              <w:rPr>
                <w:rFonts w:ascii="宋体" w:hAnsi="宋体"/>
                <w:color w:val="000000"/>
                <w:sz w:val="24"/>
                <w:szCs w:val="28"/>
              </w:rPr>
            </w:pPr>
            <w:r>
              <w:rPr>
                <w:rFonts w:hint="eastAsia" w:ascii="宋体" w:hAnsi="宋体"/>
                <w:color w:val="000000"/>
                <w:sz w:val="24"/>
                <w:szCs w:val="28"/>
              </w:rPr>
              <w:t>测评实施准备</w:t>
            </w:r>
          </w:p>
        </w:tc>
        <w:tc>
          <w:tcPr>
            <w:tcW w:w="5430" w:type="dxa"/>
          </w:tcPr>
          <w:p>
            <w:pPr>
              <w:spacing w:line="360" w:lineRule="auto"/>
              <w:rPr>
                <w:rFonts w:ascii="宋体" w:hAnsi="宋体"/>
                <w:color w:val="000000"/>
                <w:sz w:val="24"/>
                <w:szCs w:val="28"/>
              </w:rPr>
            </w:pPr>
            <w:r>
              <w:rPr>
                <w:rFonts w:hint="eastAsia" w:ascii="宋体" w:hAnsi="宋体"/>
                <w:color w:val="000000"/>
                <w:sz w:val="24"/>
                <w:szCs w:val="28"/>
              </w:rPr>
              <w:t>完成测评实施的准备工作。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 w:type="dxa"/>
            <w:vAlign w:val="center"/>
          </w:tcPr>
          <w:p>
            <w:pPr>
              <w:spacing w:line="360" w:lineRule="auto"/>
              <w:rPr>
                <w:rFonts w:ascii="宋体" w:hAnsi="宋体"/>
                <w:color w:val="000000"/>
                <w:sz w:val="24"/>
                <w:szCs w:val="28"/>
              </w:rPr>
            </w:pPr>
            <w:r>
              <w:rPr>
                <w:rFonts w:hint="eastAsia" w:ascii="宋体" w:hAnsi="宋体"/>
                <w:color w:val="000000"/>
                <w:sz w:val="24"/>
                <w:szCs w:val="28"/>
              </w:rPr>
              <w:t>9</w:t>
            </w:r>
          </w:p>
        </w:tc>
        <w:tc>
          <w:tcPr>
            <w:tcW w:w="1161" w:type="dxa"/>
            <w:vMerge w:val="continue"/>
            <w:vAlign w:val="center"/>
          </w:tcPr>
          <w:p>
            <w:pPr>
              <w:spacing w:line="360" w:lineRule="auto"/>
              <w:rPr>
                <w:rFonts w:ascii="宋体" w:hAnsi="宋体"/>
                <w:color w:val="000000"/>
                <w:sz w:val="24"/>
                <w:szCs w:val="28"/>
              </w:rPr>
            </w:pPr>
          </w:p>
        </w:tc>
        <w:tc>
          <w:tcPr>
            <w:tcW w:w="1845" w:type="dxa"/>
            <w:vAlign w:val="center"/>
          </w:tcPr>
          <w:p>
            <w:pPr>
              <w:spacing w:line="360" w:lineRule="auto"/>
              <w:rPr>
                <w:rFonts w:ascii="宋体" w:hAnsi="宋体"/>
                <w:color w:val="000000"/>
                <w:sz w:val="24"/>
                <w:szCs w:val="28"/>
              </w:rPr>
            </w:pPr>
            <w:r>
              <w:rPr>
                <w:rFonts w:hint="eastAsia" w:ascii="宋体" w:hAnsi="宋体"/>
                <w:color w:val="000000"/>
                <w:sz w:val="24"/>
                <w:szCs w:val="28"/>
              </w:rPr>
              <w:t>现场测评和结果记录</w:t>
            </w:r>
          </w:p>
        </w:tc>
        <w:tc>
          <w:tcPr>
            <w:tcW w:w="5430" w:type="dxa"/>
          </w:tcPr>
          <w:p>
            <w:pPr>
              <w:spacing w:line="360" w:lineRule="auto"/>
              <w:rPr>
                <w:rFonts w:ascii="宋体" w:hAnsi="宋体"/>
                <w:color w:val="000000"/>
                <w:sz w:val="24"/>
                <w:szCs w:val="28"/>
              </w:rPr>
            </w:pPr>
            <w:r>
              <w:rPr>
                <w:rFonts w:hint="eastAsia" w:ascii="宋体" w:hAnsi="宋体"/>
                <w:color w:val="000000"/>
                <w:sz w:val="24"/>
                <w:szCs w:val="28"/>
              </w:rPr>
              <w:t>测评项应包括：安全技术测评包括安全物理环境、安全通信网络、安全区域边界、安全计算环境、安全管理中心。安全管理测评包括安全管理制度、安全管理机构、安全管理人员、安全建设管理、安全运维管理。不计具体设备的数量，每个二级系统至少进行的测评项为135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 w:type="dxa"/>
            <w:vAlign w:val="center"/>
          </w:tcPr>
          <w:p>
            <w:pPr>
              <w:spacing w:line="360" w:lineRule="auto"/>
              <w:rPr>
                <w:rFonts w:ascii="宋体" w:hAnsi="宋体"/>
                <w:color w:val="000000"/>
                <w:sz w:val="24"/>
                <w:szCs w:val="28"/>
              </w:rPr>
            </w:pPr>
            <w:r>
              <w:rPr>
                <w:rFonts w:hint="eastAsia" w:ascii="宋体" w:hAnsi="宋体"/>
                <w:color w:val="000000"/>
                <w:sz w:val="24"/>
                <w:szCs w:val="28"/>
              </w:rPr>
              <w:t>10</w:t>
            </w:r>
          </w:p>
        </w:tc>
        <w:tc>
          <w:tcPr>
            <w:tcW w:w="1161" w:type="dxa"/>
            <w:vMerge w:val="continue"/>
            <w:vAlign w:val="center"/>
          </w:tcPr>
          <w:p>
            <w:pPr>
              <w:spacing w:line="360" w:lineRule="auto"/>
              <w:rPr>
                <w:rFonts w:ascii="宋体" w:hAnsi="宋体"/>
                <w:color w:val="000000"/>
                <w:sz w:val="24"/>
                <w:szCs w:val="28"/>
              </w:rPr>
            </w:pPr>
          </w:p>
        </w:tc>
        <w:tc>
          <w:tcPr>
            <w:tcW w:w="1845" w:type="dxa"/>
            <w:vAlign w:val="center"/>
          </w:tcPr>
          <w:p>
            <w:pPr>
              <w:spacing w:line="360" w:lineRule="auto"/>
              <w:rPr>
                <w:rFonts w:ascii="宋体" w:hAnsi="宋体"/>
                <w:color w:val="000000"/>
                <w:sz w:val="24"/>
                <w:szCs w:val="28"/>
              </w:rPr>
            </w:pPr>
            <w:r>
              <w:rPr>
                <w:rFonts w:hint="eastAsia" w:ascii="宋体" w:hAnsi="宋体"/>
                <w:color w:val="000000"/>
                <w:sz w:val="24"/>
                <w:szCs w:val="28"/>
              </w:rPr>
              <w:t>结果确认和资料归还</w:t>
            </w:r>
          </w:p>
        </w:tc>
        <w:tc>
          <w:tcPr>
            <w:tcW w:w="5430" w:type="dxa"/>
          </w:tcPr>
          <w:p>
            <w:pPr>
              <w:spacing w:line="360" w:lineRule="auto"/>
              <w:rPr>
                <w:rFonts w:ascii="宋体" w:hAnsi="宋体"/>
                <w:color w:val="000000"/>
                <w:sz w:val="24"/>
                <w:szCs w:val="28"/>
              </w:rPr>
            </w:pPr>
            <w:r>
              <w:rPr>
                <w:rFonts w:hint="eastAsia" w:ascii="宋体" w:hAnsi="宋体"/>
                <w:color w:val="000000"/>
                <w:sz w:val="24"/>
                <w:szCs w:val="28"/>
              </w:rPr>
              <w:t>提交完整的测评结果，应包括问题描述、状态、严重程度、优先级等内容；归还相关资料。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 w:type="dxa"/>
            <w:vAlign w:val="center"/>
          </w:tcPr>
          <w:p>
            <w:pPr>
              <w:spacing w:line="360" w:lineRule="auto"/>
              <w:rPr>
                <w:rFonts w:ascii="宋体" w:hAnsi="宋体"/>
                <w:color w:val="000000"/>
                <w:sz w:val="24"/>
                <w:szCs w:val="28"/>
              </w:rPr>
            </w:pPr>
            <w:r>
              <w:rPr>
                <w:rFonts w:hint="eastAsia" w:ascii="宋体" w:hAnsi="宋体"/>
                <w:color w:val="000000"/>
                <w:sz w:val="24"/>
                <w:szCs w:val="28"/>
              </w:rPr>
              <w:t>11</w:t>
            </w:r>
          </w:p>
        </w:tc>
        <w:tc>
          <w:tcPr>
            <w:tcW w:w="1161" w:type="dxa"/>
            <w:vMerge w:val="restart"/>
            <w:vAlign w:val="center"/>
          </w:tcPr>
          <w:p>
            <w:pPr>
              <w:spacing w:line="360" w:lineRule="auto"/>
              <w:rPr>
                <w:rFonts w:ascii="宋体" w:hAnsi="宋体"/>
                <w:color w:val="000000"/>
                <w:sz w:val="24"/>
                <w:szCs w:val="28"/>
              </w:rPr>
            </w:pPr>
            <w:r>
              <w:rPr>
                <w:rFonts w:hint="eastAsia" w:ascii="宋体" w:hAnsi="宋体"/>
                <w:color w:val="000000"/>
                <w:sz w:val="24"/>
                <w:szCs w:val="28"/>
              </w:rPr>
              <w:t>测试结束</w:t>
            </w:r>
          </w:p>
        </w:tc>
        <w:tc>
          <w:tcPr>
            <w:tcW w:w="1845" w:type="dxa"/>
            <w:vAlign w:val="center"/>
          </w:tcPr>
          <w:p>
            <w:pPr>
              <w:spacing w:line="360" w:lineRule="auto"/>
              <w:rPr>
                <w:rFonts w:ascii="宋体" w:hAnsi="宋体"/>
                <w:color w:val="000000"/>
                <w:sz w:val="24"/>
                <w:szCs w:val="28"/>
              </w:rPr>
            </w:pPr>
            <w:r>
              <w:rPr>
                <w:rFonts w:hint="eastAsia" w:ascii="宋体" w:hAnsi="宋体"/>
                <w:color w:val="000000"/>
                <w:sz w:val="24"/>
                <w:szCs w:val="28"/>
              </w:rPr>
              <w:t>分析与报告编制</w:t>
            </w:r>
          </w:p>
        </w:tc>
        <w:tc>
          <w:tcPr>
            <w:tcW w:w="5430" w:type="dxa"/>
          </w:tcPr>
          <w:p>
            <w:pPr>
              <w:spacing w:line="360" w:lineRule="auto"/>
              <w:rPr>
                <w:rFonts w:ascii="宋体" w:hAnsi="宋体"/>
                <w:color w:val="000000"/>
                <w:sz w:val="24"/>
                <w:szCs w:val="28"/>
              </w:rPr>
            </w:pPr>
            <w:r>
              <w:rPr>
                <w:rFonts w:hint="eastAsia" w:ascii="宋体" w:hAnsi="宋体"/>
                <w:color w:val="000000"/>
                <w:sz w:val="24"/>
                <w:szCs w:val="28"/>
              </w:rPr>
              <w:t>单项测评结果判定、单元测评结果判定、整体测评、风险分析、等级测评结论形成、测评报告编制等。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 w:type="dxa"/>
            <w:vAlign w:val="center"/>
          </w:tcPr>
          <w:p>
            <w:pPr>
              <w:spacing w:line="360" w:lineRule="auto"/>
              <w:rPr>
                <w:rFonts w:ascii="宋体" w:hAnsi="宋体"/>
                <w:color w:val="000000"/>
                <w:sz w:val="24"/>
                <w:szCs w:val="28"/>
              </w:rPr>
            </w:pPr>
            <w:r>
              <w:rPr>
                <w:rFonts w:hint="eastAsia" w:ascii="宋体" w:hAnsi="宋体"/>
                <w:color w:val="000000"/>
                <w:sz w:val="24"/>
                <w:szCs w:val="28"/>
              </w:rPr>
              <w:t>12</w:t>
            </w:r>
          </w:p>
        </w:tc>
        <w:tc>
          <w:tcPr>
            <w:tcW w:w="1161" w:type="dxa"/>
            <w:vMerge w:val="continue"/>
            <w:vAlign w:val="center"/>
          </w:tcPr>
          <w:p>
            <w:pPr>
              <w:spacing w:line="360" w:lineRule="auto"/>
              <w:rPr>
                <w:rFonts w:ascii="宋体" w:hAnsi="宋体"/>
                <w:color w:val="000000"/>
                <w:sz w:val="24"/>
                <w:szCs w:val="28"/>
              </w:rPr>
            </w:pPr>
          </w:p>
        </w:tc>
        <w:tc>
          <w:tcPr>
            <w:tcW w:w="1845" w:type="dxa"/>
            <w:vAlign w:val="center"/>
          </w:tcPr>
          <w:p>
            <w:pPr>
              <w:spacing w:line="360" w:lineRule="auto"/>
              <w:rPr>
                <w:rFonts w:ascii="宋体" w:hAnsi="宋体"/>
                <w:color w:val="000000"/>
                <w:sz w:val="24"/>
                <w:szCs w:val="28"/>
              </w:rPr>
            </w:pPr>
            <w:r>
              <w:rPr>
                <w:rFonts w:hint="eastAsia" w:ascii="宋体" w:hAnsi="宋体"/>
                <w:color w:val="000000"/>
                <w:sz w:val="24"/>
                <w:szCs w:val="28"/>
              </w:rPr>
              <w:t>测评报告</w:t>
            </w:r>
          </w:p>
        </w:tc>
        <w:tc>
          <w:tcPr>
            <w:tcW w:w="5430" w:type="dxa"/>
          </w:tcPr>
          <w:p>
            <w:pPr>
              <w:spacing w:line="360" w:lineRule="auto"/>
              <w:rPr>
                <w:rFonts w:ascii="宋体" w:hAnsi="宋体"/>
                <w:color w:val="000000"/>
                <w:sz w:val="24"/>
                <w:szCs w:val="28"/>
              </w:rPr>
            </w:pPr>
            <w:r>
              <w:rPr>
                <w:rFonts w:hint="eastAsia" w:ascii="宋体" w:hAnsi="宋体"/>
                <w:color w:val="000000"/>
                <w:sz w:val="24"/>
                <w:szCs w:val="28"/>
              </w:rPr>
              <w:t>提交正式测评报告，测评报告包括：测评项目概述、被测信息系统情况、等级测评范围与方法、单元测评、整体测评、测评结果汇总、风险分析和评价、等级测评结论、安全建设整改建议等。</w:t>
            </w:r>
          </w:p>
        </w:tc>
      </w:tr>
    </w:tbl>
    <w:p>
      <w:pPr>
        <w:ind w:firstLine="640" w:firstLineChars="200"/>
        <w:rPr>
          <w:rFonts w:ascii="黑体" w:hAnsi="黑体" w:eastAsia="黑体" w:cs="黑体"/>
          <w:sz w:val="32"/>
          <w:szCs w:val="32"/>
        </w:rPr>
      </w:pPr>
      <w:r>
        <w:rPr>
          <w:rFonts w:hint="eastAsia" w:ascii="黑体" w:hAnsi="黑体" w:eastAsia="黑体" w:cs="黑体"/>
          <w:sz w:val="32"/>
          <w:szCs w:val="32"/>
        </w:rPr>
        <w:t>五、项目实施要求</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1.客观性和公正性要求：</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在最小主观判断情形下，按照评估双方相互认可的评估方案，基于明确定义的测评方式和解释，实施评估活动。</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2.保密要求：</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在测评过程中，需严格遵循保密原则，对服务过程中涉及到的任何用户信息未经允许不向其他任何第三方泄漏，以及不得利用这些信息损害采购方利益。</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3.互动要求：</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在整个测评过程中，强调采购方的互动参与，每个阶段都能够及时根据采购方的要求和实际情况对测评的内容、方式做出相关调整，进而更好的进行风险评估工作。</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4.最小影响要求：</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测评工作应该尽可能小地影响系统和网络的正常运行，不能对业务的正常运行产生明显的影响（包括系统性能明显下降、网络阻塞、服务中断等），如无法避免，则应预先做出说明并经业主同意后实施。</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5.规范性要求：</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信息安全等级保护测评服务的实施必须由专业的测评服务人员依照规范的操作流程进行，对操作过程和结果要有相应的记录，并提供完整的服务报告。</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6.质量保障要求：</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在整个测评过程中，须特别重视项目质量管理。项目的实施将严格按照项目实施方案和流程进行，并由项目协调小组从中监督，控制项目的进度和质量。</w:t>
      </w:r>
    </w:p>
    <w:p>
      <w:pPr>
        <w:ind w:firstLine="640" w:firstLineChars="200"/>
        <w:rPr>
          <w:rFonts w:ascii="黑体" w:hAnsi="黑体" w:eastAsia="黑体" w:cs="黑体"/>
          <w:sz w:val="32"/>
          <w:szCs w:val="32"/>
        </w:rPr>
      </w:pPr>
      <w:r>
        <w:rPr>
          <w:rFonts w:hint="eastAsia" w:ascii="黑体" w:hAnsi="黑体" w:eastAsia="黑体" w:cs="黑体"/>
          <w:sz w:val="32"/>
          <w:szCs w:val="32"/>
        </w:rPr>
        <w:t>六、资质及要求</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1.投标人应入围全国等级保护测评机构推荐目录（网址http://www.djbh.net可查询）；</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2.投标人必须持有网络安全等级保护测评机构推荐证书；</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3.投标人应提供不少于</w:t>
      </w:r>
      <w:r>
        <w:rPr>
          <w:rFonts w:hint="eastAsia" w:ascii="仿宋_GB2312" w:hAnsi="仿宋_GB2312" w:eastAsia="仿宋_GB2312" w:cs="仿宋_GB2312"/>
          <w:b/>
          <w:bCs/>
          <w:sz w:val="32"/>
          <w:szCs w:val="36"/>
        </w:rPr>
        <w:t>3名</w:t>
      </w:r>
      <w:r>
        <w:rPr>
          <w:rFonts w:hint="eastAsia" w:ascii="仿宋_GB2312" w:hAnsi="仿宋_GB2312" w:eastAsia="仿宋_GB2312" w:cs="仿宋_GB2312"/>
          <w:sz w:val="32"/>
          <w:szCs w:val="36"/>
        </w:rPr>
        <w:t>具有等级保护测评资格的人员承担本项目，并组建合理的测评项目组；</w:t>
      </w:r>
    </w:p>
    <w:p>
      <w:pPr>
        <w:ind w:firstLine="643" w:firstLineChars="200"/>
        <w:rPr>
          <w:rFonts w:ascii="仿宋_GB2312" w:hAnsi="仿宋_GB2312" w:eastAsia="仿宋_GB2312" w:cs="仿宋_GB2312"/>
          <w:b/>
          <w:bCs/>
          <w:sz w:val="32"/>
          <w:szCs w:val="36"/>
        </w:rPr>
      </w:pPr>
      <w:r>
        <w:rPr>
          <w:rFonts w:hint="eastAsia" w:ascii="仿宋_GB2312" w:hAnsi="仿宋_GB2312" w:eastAsia="仿宋_GB2312" w:cs="仿宋_GB2312"/>
          <w:b/>
          <w:bCs/>
          <w:sz w:val="32"/>
          <w:szCs w:val="36"/>
        </w:rPr>
        <w:t>4.投标人所提供任何材料均真实可靠，凡发现投标文件中涉及资质、案例等任何一处弄虚作假者，均一票否决，直接取消中标资格，并依次递补下一个中标人。</w:t>
      </w:r>
    </w:p>
    <w:p>
      <w:pPr>
        <w:ind w:firstLine="640" w:firstLineChars="200"/>
        <w:rPr>
          <w:rFonts w:ascii="黑体" w:hAnsi="黑体" w:eastAsia="黑体" w:cs="黑体"/>
          <w:sz w:val="32"/>
          <w:szCs w:val="32"/>
        </w:rPr>
      </w:pPr>
      <w:r>
        <w:rPr>
          <w:rFonts w:hint="eastAsia" w:ascii="黑体" w:hAnsi="黑体" w:eastAsia="黑体" w:cs="黑体"/>
          <w:sz w:val="32"/>
          <w:szCs w:val="32"/>
        </w:rPr>
        <w:t>七、评审标准</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本次项目采用综合评标法得分最高者中标。</w:t>
      </w:r>
    </w:p>
    <w:p>
      <w:pPr>
        <w:ind w:firstLine="640" w:firstLineChars="200"/>
        <w:rPr>
          <w:rFonts w:ascii="黑体" w:hAnsi="黑体" w:eastAsia="黑体" w:cs="黑体"/>
          <w:sz w:val="32"/>
          <w:szCs w:val="32"/>
        </w:rPr>
      </w:pPr>
      <w:r>
        <w:rPr>
          <w:rFonts w:hint="eastAsia" w:ascii="黑体" w:hAnsi="黑体" w:eastAsia="黑体" w:cs="黑体"/>
          <w:sz w:val="32"/>
          <w:szCs w:val="32"/>
        </w:rPr>
        <w:t>八、评标</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本项目采用综合评标法。</w:t>
      </w:r>
    </w:p>
    <w:p>
      <w:pPr>
        <w:pStyle w:val="23"/>
        <w:spacing w:line="520" w:lineRule="exact"/>
        <w:ind w:left="0" w:firstLine="562"/>
        <w:jc w:val="center"/>
        <w:rPr>
          <w:b/>
          <w:szCs w:val="24"/>
        </w:rPr>
      </w:pPr>
      <w:r>
        <w:rPr>
          <w:rFonts w:hint="eastAsia"/>
          <w:b/>
          <w:szCs w:val="24"/>
        </w:rPr>
        <w:t>评分细则（满分100分）</w:t>
      </w:r>
    </w:p>
    <w:tbl>
      <w:tblPr>
        <w:tblStyle w:val="17"/>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50"/>
        <w:gridCol w:w="6095"/>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6" w:hRule="atLeast"/>
          <w:jc w:val="center"/>
        </w:trPr>
        <w:tc>
          <w:tcPr>
            <w:tcW w:w="816" w:type="dxa"/>
            <w:shd w:val="clear" w:color="auto" w:fill="FFFFFF"/>
            <w:vAlign w:val="center"/>
          </w:tcPr>
          <w:p>
            <w:pPr>
              <w:widowControl/>
              <w:spacing w:line="400" w:lineRule="exact"/>
              <w:textAlignment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类别</w:t>
            </w:r>
          </w:p>
        </w:tc>
        <w:tc>
          <w:tcPr>
            <w:tcW w:w="850" w:type="dxa"/>
            <w:shd w:val="clear" w:color="auto" w:fill="FFFFFF"/>
            <w:vAlign w:val="center"/>
          </w:tcPr>
          <w:p>
            <w:pPr>
              <w:widowControl/>
              <w:spacing w:line="400" w:lineRule="exact"/>
              <w:textAlignment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分项</w:t>
            </w:r>
          </w:p>
        </w:tc>
        <w:tc>
          <w:tcPr>
            <w:tcW w:w="6095" w:type="dxa"/>
            <w:shd w:val="clear" w:color="auto" w:fill="FFFFFF"/>
            <w:vAlign w:val="center"/>
          </w:tcPr>
          <w:p>
            <w:pPr>
              <w:widowControl/>
              <w:spacing w:line="400" w:lineRule="exact"/>
              <w:jc w:val="center"/>
              <w:textAlignment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评分细则</w:t>
            </w:r>
          </w:p>
        </w:tc>
        <w:tc>
          <w:tcPr>
            <w:tcW w:w="1069" w:type="dxa"/>
            <w:shd w:val="clear" w:color="auto" w:fill="FFFFFF"/>
            <w:vAlign w:val="center"/>
          </w:tcPr>
          <w:p>
            <w:pPr>
              <w:widowControl/>
              <w:spacing w:line="400" w:lineRule="exact"/>
              <w:textAlignment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分值</w:t>
            </w:r>
          </w:p>
          <w:p>
            <w:pPr>
              <w:widowControl/>
              <w:spacing w:line="400" w:lineRule="exact"/>
              <w:textAlignment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0" w:hRule="atLeast"/>
          <w:jc w:val="center"/>
        </w:trPr>
        <w:tc>
          <w:tcPr>
            <w:tcW w:w="816" w:type="dxa"/>
            <w:vMerge w:val="restart"/>
            <w:shd w:val="clear" w:color="auto" w:fill="FFFFFF"/>
            <w:vAlign w:val="center"/>
          </w:tcPr>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资信技术分</w:t>
            </w:r>
          </w:p>
        </w:tc>
        <w:tc>
          <w:tcPr>
            <w:tcW w:w="850" w:type="dxa"/>
            <w:shd w:val="clear" w:color="auto" w:fill="FFFFFF"/>
            <w:vAlign w:val="center"/>
          </w:tcPr>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企业</w:t>
            </w:r>
          </w:p>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资质</w:t>
            </w:r>
          </w:p>
        </w:tc>
        <w:tc>
          <w:tcPr>
            <w:tcW w:w="6095" w:type="dxa"/>
            <w:shd w:val="clear" w:color="auto" w:fill="FFFFFF"/>
            <w:vAlign w:val="center"/>
          </w:tcPr>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投标人入围全国等级保护测评机构推荐目录（http://www.djbh.net网址可查询，提供投标人在目录内可搜索到的网页截图）或持有公安部第三研究所颁发的“网络安全等级测评与检测评估机构服务认证证书”，得2分。</w:t>
            </w:r>
          </w:p>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2.投标人具有国家互联网应急中心颁发的“网络安全能力认证”培训机构证书，得3分。</w:t>
            </w:r>
          </w:p>
          <w:p>
            <w:pPr>
              <w:pStyle w:val="9"/>
              <w:ind w:firstLine="480" w:firstLineChars="200"/>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3.投标人具有经中国国家认证认可监督管理委员会批准的认证机构颁发的ISO 9001质量管理体系认证证书的，得3分。</w:t>
            </w:r>
          </w:p>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4.投标人具有经中国国家认证认可监督管理委员会批准的认证机构颁发的环境管理体系认证证书（GB/T 24001-2016）、职业健康安全管理体系认证证书（GB/T 45001-2020）、信息安全管理体系认证证书ISO/IEC 27001（认证范围包含“等级保护测评”）、信息技术服务管理体系认证证书ISO/IEC 20000（认证范围包含“等级保护测评”），每个得3分，共12分。</w:t>
            </w:r>
          </w:p>
        </w:tc>
        <w:tc>
          <w:tcPr>
            <w:tcW w:w="1069" w:type="dxa"/>
            <w:shd w:val="clear" w:color="auto" w:fill="FFFFFF"/>
            <w:vAlign w:val="center"/>
          </w:tcPr>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80" w:hRule="atLeast"/>
          <w:jc w:val="center"/>
        </w:trPr>
        <w:tc>
          <w:tcPr>
            <w:tcW w:w="816" w:type="dxa"/>
            <w:vMerge w:val="continue"/>
            <w:shd w:val="clear" w:color="auto" w:fill="FFFFFF"/>
            <w:vAlign w:val="center"/>
          </w:tcPr>
          <w:p>
            <w:pPr>
              <w:widowControl/>
              <w:spacing w:line="400" w:lineRule="exact"/>
              <w:jc w:val="left"/>
              <w:textAlignment w:val="center"/>
              <w:rPr>
                <w:rFonts w:ascii="仿宋_GB2312" w:hAnsi="仿宋_GB2312" w:eastAsia="仿宋_GB2312" w:cs="仿宋_GB2312"/>
                <w:color w:val="000000"/>
                <w:kern w:val="0"/>
                <w:sz w:val="24"/>
                <w:szCs w:val="24"/>
              </w:rPr>
            </w:pPr>
          </w:p>
        </w:tc>
        <w:tc>
          <w:tcPr>
            <w:tcW w:w="850" w:type="dxa"/>
            <w:shd w:val="clear" w:color="auto" w:fill="FFFFFF"/>
            <w:vAlign w:val="center"/>
          </w:tcPr>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业绩</w:t>
            </w:r>
          </w:p>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案例</w:t>
            </w:r>
          </w:p>
        </w:tc>
        <w:tc>
          <w:tcPr>
            <w:tcW w:w="6095" w:type="dxa"/>
            <w:shd w:val="clear" w:color="auto" w:fill="FFFFFF"/>
            <w:vAlign w:val="center"/>
          </w:tcPr>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自2019年以来，承担过行政事业单位信息系统安全等级三级（含三级）以上测评案例的，每一项得2分，最高10分。</w:t>
            </w:r>
          </w:p>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注：有效案例须为已服务完毕业绩，响应文件中提供合同复印件或扫描件、测评报告签字页加盖投标人公章。</w:t>
            </w:r>
          </w:p>
        </w:tc>
        <w:tc>
          <w:tcPr>
            <w:tcW w:w="1069" w:type="dxa"/>
            <w:shd w:val="clear" w:color="auto" w:fill="FFFFFF"/>
            <w:vAlign w:val="center"/>
          </w:tcPr>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5" w:hRule="atLeast"/>
          <w:jc w:val="center"/>
        </w:trPr>
        <w:tc>
          <w:tcPr>
            <w:tcW w:w="816" w:type="dxa"/>
            <w:vMerge w:val="continue"/>
            <w:shd w:val="clear" w:color="auto" w:fill="FFFFFF"/>
            <w:vAlign w:val="center"/>
          </w:tcPr>
          <w:p>
            <w:pPr>
              <w:widowControl/>
              <w:spacing w:line="400" w:lineRule="exact"/>
              <w:jc w:val="left"/>
              <w:textAlignment w:val="center"/>
              <w:rPr>
                <w:rFonts w:ascii="仿宋_GB2312" w:hAnsi="仿宋_GB2312" w:eastAsia="仿宋_GB2312" w:cs="仿宋_GB2312"/>
                <w:color w:val="000000"/>
                <w:kern w:val="0"/>
                <w:sz w:val="24"/>
                <w:szCs w:val="24"/>
              </w:rPr>
            </w:pPr>
          </w:p>
        </w:tc>
        <w:tc>
          <w:tcPr>
            <w:tcW w:w="850" w:type="dxa"/>
            <w:shd w:val="clear" w:color="auto" w:fill="FFFFFF"/>
            <w:vAlign w:val="center"/>
          </w:tcPr>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人员</w:t>
            </w:r>
          </w:p>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资质</w:t>
            </w:r>
          </w:p>
        </w:tc>
        <w:tc>
          <w:tcPr>
            <w:tcW w:w="6095" w:type="dxa"/>
            <w:shd w:val="clear" w:color="auto" w:fill="FFFFFF"/>
            <w:vAlign w:val="center"/>
          </w:tcPr>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rPr>
              <w:t>项目经理</w:t>
            </w:r>
            <w:r>
              <w:rPr>
                <w:rFonts w:hint="eastAsia" w:ascii="仿宋_GB2312" w:hAnsi="仿宋_GB2312" w:eastAsia="仿宋_GB2312" w:cs="仿宋_GB2312"/>
                <w:color w:val="000000"/>
                <w:kern w:val="0"/>
                <w:sz w:val="24"/>
                <w:szCs w:val="24"/>
              </w:rPr>
              <w:t>（1人，满分15分）</w:t>
            </w:r>
          </w:p>
          <w:p>
            <w:pPr>
              <w:widowControl/>
              <w:spacing w:line="400" w:lineRule="exact"/>
              <w:ind w:firstLine="480" w:firstLineChars="200"/>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1.拟任项目经理具有高级测评师证书的，得3分。</w:t>
            </w:r>
          </w:p>
          <w:p>
            <w:pPr>
              <w:widowControl/>
              <w:spacing w:line="400" w:lineRule="exact"/>
              <w:ind w:firstLine="480" w:firstLineChars="200"/>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2.具有省级或以上人社部门颁发的信息系统项目管理师（高级）认证的，得4分。</w:t>
            </w:r>
          </w:p>
          <w:p>
            <w:pPr>
              <w:widowControl/>
              <w:spacing w:line="400" w:lineRule="exact"/>
              <w:ind w:firstLine="480" w:firstLineChars="200"/>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3.具有公安部直属研究所颁发的网络安全等级保护2.0标准应用工程师认证证书的，得4分。</w:t>
            </w:r>
          </w:p>
          <w:p>
            <w:pPr>
              <w:widowControl/>
              <w:spacing w:line="400" w:lineRule="exact"/>
              <w:ind w:firstLine="480" w:firstLineChars="200"/>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4.具有中国信息安全测评中心颁发的CISI注册信息安全讲师资质证书的，得4分。</w:t>
            </w:r>
          </w:p>
          <w:p>
            <w:pPr>
              <w:widowControl/>
              <w:spacing w:line="400" w:lineRule="exact"/>
              <w:jc w:val="left"/>
              <w:textAlignment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团队成员</w:t>
            </w:r>
            <w:r>
              <w:rPr>
                <w:rFonts w:hint="eastAsia" w:ascii="仿宋_GB2312" w:hAnsi="仿宋_GB2312" w:eastAsia="仿宋_GB2312" w:cs="仿宋_GB2312"/>
                <w:color w:val="000000"/>
                <w:kern w:val="0"/>
                <w:sz w:val="24"/>
                <w:szCs w:val="24"/>
              </w:rPr>
              <w:t>（至少3人，每小项5分，满分15分）</w:t>
            </w:r>
          </w:p>
          <w:p>
            <w:pPr>
              <w:widowControl/>
              <w:spacing w:line="400" w:lineRule="exact"/>
              <w:ind w:firstLine="480" w:firstLineChars="200"/>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1.拟派测评师（具有测评师资质）具有注册信息安全渗透测试专家（CISP-PTS）证书的，得5分。</w:t>
            </w:r>
          </w:p>
          <w:p>
            <w:pPr>
              <w:widowControl/>
              <w:spacing w:line="400" w:lineRule="exact"/>
              <w:ind w:firstLine="480" w:firstLineChars="200"/>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2.拟派测评师（具有测评师资质）具有“网络安全能力认证”培训讲师（CCSC）的，得5分。</w:t>
            </w:r>
          </w:p>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3.拟派渗透测试工程师（具有测评师资质）具有注册网络安全渗透评估专业人员证书（NSATP-A）证书的，得5分。</w:t>
            </w:r>
          </w:p>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注：</w:t>
            </w:r>
          </w:p>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（1）投标文件中须提供相关证书扫描件；以上人员需专岗专人，不可兼任。</w:t>
            </w:r>
          </w:p>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（2）响应文件中须提供该项证书扫描件并加盖公章。</w:t>
            </w:r>
          </w:p>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（3）响应文件中须提供投标人为上述人员直接缴纳的近半年以来的社保证明材料扫描件。</w:t>
            </w:r>
          </w:p>
        </w:tc>
        <w:tc>
          <w:tcPr>
            <w:tcW w:w="1069" w:type="dxa"/>
            <w:shd w:val="clear" w:color="auto" w:fill="FFFFFF"/>
            <w:vAlign w:val="center"/>
          </w:tcPr>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16" w:type="dxa"/>
            <w:vMerge w:val="continue"/>
            <w:shd w:val="clear" w:color="auto" w:fill="FFFFFF"/>
            <w:vAlign w:val="center"/>
          </w:tcPr>
          <w:p>
            <w:pPr>
              <w:widowControl/>
              <w:spacing w:line="400" w:lineRule="exact"/>
              <w:jc w:val="left"/>
              <w:textAlignment w:val="center"/>
              <w:rPr>
                <w:rFonts w:ascii="仿宋_GB2312" w:hAnsi="仿宋_GB2312" w:eastAsia="仿宋_GB2312" w:cs="仿宋_GB2312"/>
                <w:color w:val="000000"/>
                <w:kern w:val="0"/>
                <w:sz w:val="24"/>
                <w:szCs w:val="24"/>
              </w:rPr>
            </w:pPr>
          </w:p>
        </w:tc>
        <w:tc>
          <w:tcPr>
            <w:tcW w:w="850" w:type="dxa"/>
            <w:shd w:val="clear" w:color="auto" w:fill="FFFFFF"/>
            <w:vAlign w:val="center"/>
          </w:tcPr>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测评</w:t>
            </w:r>
          </w:p>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方案</w:t>
            </w:r>
          </w:p>
        </w:tc>
        <w:tc>
          <w:tcPr>
            <w:tcW w:w="6095" w:type="dxa"/>
            <w:shd w:val="clear" w:color="auto" w:fill="FFFFFF"/>
            <w:vAlign w:val="center"/>
          </w:tcPr>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投标人提供等级保护测评方案，包含测评对象与指标、测评方法与工具、测评相关工作的实施计划。重点评价方案编写的质量符合本项目实际现状，并对方案的客观性、准确性、公正性、符合性等进行评价。</w:t>
            </w:r>
          </w:p>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a.方案编写的质量完全符合本项目技术方案实际现状、客观、准确、公正的，得9-15分；</w:t>
            </w:r>
          </w:p>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b.方案编写的质量符合本项目技术方案实际现状、较为客观准确的，得 6-8 分；</w:t>
            </w:r>
          </w:p>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c.方案编写的质量基本符合本项目技术方案实际现状、相对完整的，得 1-6 分；</w:t>
            </w:r>
          </w:p>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d.不提供不得分。</w:t>
            </w:r>
          </w:p>
        </w:tc>
        <w:tc>
          <w:tcPr>
            <w:tcW w:w="1069" w:type="dxa"/>
            <w:shd w:val="clear" w:color="auto" w:fill="FFFFFF"/>
            <w:vAlign w:val="center"/>
          </w:tcPr>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4" w:hRule="atLeast"/>
          <w:jc w:val="center"/>
        </w:trPr>
        <w:tc>
          <w:tcPr>
            <w:tcW w:w="816" w:type="dxa"/>
            <w:vMerge w:val="continue"/>
            <w:shd w:val="clear" w:color="auto" w:fill="FFFFFF"/>
            <w:vAlign w:val="center"/>
          </w:tcPr>
          <w:p>
            <w:pPr>
              <w:widowControl/>
              <w:spacing w:line="400" w:lineRule="exact"/>
              <w:jc w:val="left"/>
              <w:textAlignment w:val="center"/>
              <w:rPr>
                <w:rFonts w:ascii="仿宋_GB2312" w:hAnsi="仿宋_GB2312" w:eastAsia="仿宋_GB2312" w:cs="仿宋_GB2312"/>
                <w:color w:val="000000"/>
                <w:kern w:val="0"/>
                <w:sz w:val="24"/>
                <w:szCs w:val="24"/>
              </w:rPr>
            </w:pPr>
          </w:p>
        </w:tc>
        <w:tc>
          <w:tcPr>
            <w:tcW w:w="850" w:type="dxa"/>
            <w:shd w:val="clear" w:color="auto" w:fill="FFFFFF"/>
            <w:vAlign w:val="center"/>
          </w:tcPr>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投标人荣誉表彰</w:t>
            </w:r>
          </w:p>
          <w:p>
            <w:pPr>
              <w:widowControl/>
              <w:spacing w:line="400" w:lineRule="exact"/>
              <w:jc w:val="left"/>
              <w:textAlignment w:val="center"/>
              <w:rPr>
                <w:rFonts w:ascii="仿宋_GB2312" w:hAnsi="仿宋_GB2312" w:eastAsia="仿宋_GB2312" w:cs="仿宋_GB2312"/>
                <w:color w:val="000000"/>
                <w:kern w:val="0"/>
                <w:sz w:val="24"/>
                <w:szCs w:val="24"/>
              </w:rPr>
            </w:pPr>
          </w:p>
        </w:tc>
        <w:tc>
          <w:tcPr>
            <w:tcW w:w="6095" w:type="dxa"/>
            <w:shd w:val="clear" w:color="auto" w:fill="FFFFFF"/>
            <w:vAlign w:val="center"/>
          </w:tcPr>
          <w:p>
            <w:pPr>
              <w:widowControl/>
              <w:adjustRightInd w:val="0"/>
              <w:spacing w:line="400" w:lineRule="exact"/>
              <w:ind w:firstLine="480" w:firstLineChars="200"/>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投标人获得政府部门颁发的网络安全方面的荣誉、奖项或表彰： 每提供 1 个得 3 分；本项满分15 分。</w:t>
            </w:r>
          </w:p>
          <w:p>
            <w:pPr>
              <w:widowControl/>
              <w:spacing w:line="400" w:lineRule="exact"/>
              <w:jc w:val="left"/>
              <w:textAlignment w:val="center"/>
              <w:rPr>
                <w:rFonts w:ascii="仿宋_GB2312" w:hAnsi="仿宋_GB2312" w:eastAsia="仿宋_GB2312" w:cs="仿宋_GB2312"/>
                <w:b/>
                <w:bCs/>
                <w:color w:val="000000"/>
                <w:kern w:val="0"/>
                <w:sz w:val="24"/>
                <w:szCs w:val="24"/>
              </w:rPr>
            </w:pPr>
          </w:p>
          <w:p>
            <w:pPr>
              <w:widowControl/>
              <w:spacing w:line="400" w:lineRule="exact"/>
              <w:jc w:val="left"/>
              <w:textAlignment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 xml:space="preserve">注：（1）投标文件中提供获奖证书、批 复、颁奖单位颁奖文件、网上公示截图（具有其中之一即可）等证明材料。以上材料提 供扫描件，须能体现投标人名称等评审信息，如无法体现，须另附颁奖单位的相关证 </w:t>
            </w:r>
          </w:p>
          <w:p>
            <w:pPr>
              <w:widowControl/>
              <w:spacing w:line="400" w:lineRule="exact"/>
              <w:jc w:val="left"/>
              <w:textAlignment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明材料，未提供或提供不全的不得分。</w:t>
            </w:r>
          </w:p>
          <w:p>
            <w:pPr>
              <w:widowControl/>
              <w:spacing w:line="400" w:lineRule="exact"/>
              <w:jc w:val="left"/>
              <w:textAlignment w:val="center"/>
              <w:rPr>
                <w:rFonts w:ascii="仿宋_GB2312" w:hAnsi="仿宋_GB2312" w:eastAsia="仿宋_GB2312" w:cs="仿宋_GB2312"/>
                <w:color w:val="000000"/>
                <w:kern w:val="0"/>
                <w:sz w:val="24"/>
                <w:szCs w:val="24"/>
              </w:rPr>
            </w:pPr>
          </w:p>
        </w:tc>
        <w:tc>
          <w:tcPr>
            <w:tcW w:w="1069" w:type="dxa"/>
            <w:shd w:val="clear" w:color="auto" w:fill="FFFFFF"/>
            <w:vAlign w:val="center"/>
          </w:tcPr>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00" w:hRule="atLeast"/>
          <w:jc w:val="center"/>
        </w:trPr>
        <w:tc>
          <w:tcPr>
            <w:tcW w:w="816" w:type="dxa"/>
            <w:shd w:val="clear" w:color="auto" w:fill="FFFFFF"/>
            <w:vAlign w:val="center"/>
          </w:tcPr>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服务报价分</w:t>
            </w:r>
          </w:p>
        </w:tc>
        <w:tc>
          <w:tcPr>
            <w:tcW w:w="6945" w:type="dxa"/>
            <w:gridSpan w:val="2"/>
            <w:shd w:val="clear" w:color="auto" w:fill="FFFFFF"/>
            <w:vAlign w:val="center"/>
          </w:tcPr>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价格采用低价优先法计算，即满足招标文件要求且最终报价最低的价格为评审基准价，其价格分为满分，其他投标人的价格分按照下列公式计算：最终报价得分=（评审基准价/最终报价）×10%×100。</w:t>
            </w:r>
          </w:p>
        </w:tc>
        <w:tc>
          <w:tcPr>
            <w:tcW w:w="1069" w:type="dxa"/>
            <w:shd w:val="clear" w:color="auto" w:fill="FFFFFF"/>
            <w:vAlign w:val="center"/>
          </w:tcPr>
          <w:p>
            <w:pPr>
              <w:widowControl/>
              <w:spacing w:line="40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0-10分</w:t>
            </w:r>
          </w:p>
        </w:tc>
      </w:tr>
    </w:tbl>
    <w:p>
      <w:pPr>
        <w:pStyle w:val="23"/>
        <w:spacing w:line="520" w:lineRule="exact"/>
        <w:ind w:left="0" w:firstLine="0"/>
        <w:rPr>
          <w:b/>
          <w:szCs w:val="24"/>
        </w:rPr>
      </w:pP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每个评委对各投标人的评分的算术平均值（精确到小数点后两位）即为该投标人的商务得分。</w:t>
      </w:r>
    </w:p>
    <w:p>
      <w:pPr>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本项目采用综合评标法，按投标人的最终评标得分由高到低顺序排列。投标得分相同的，按价格分得分由高到低顺序排列，如仍不能确定排序，由评标委员会按照少数服从多数的原则投票确定。</w:t>
      </w:r>
    </w:p>
    <w:p>
      <w:pPr>
        <w:ind w:firstLine="640" w:firstLineChars="200"/>
        <w:rPr>
          <w:rFonts w:ascii="仿宋_GB2312" w:hAnsi="仿宋_GB2312" w:eastAsia="仿宋_GB2312" w:cs="仿宋_GB2312"/>
          <w:sz w:val="32"/>
          <w:szCs w:val="36"/>
        </w:rPr>
      </w:pPr>
    </w:p>
    <w:p>
      <w:pPr>
        <w:ind w:firstLine="640" w:firstLineChars="200"/>
        <w:rPr>
          <w:rFonts w:ascii="黑体" w:hAnsi="黑体" w:eastAsia="黑体" w:cs="黑体"/>
          <w:sz w:val="32"/>
          <w:szCs w:val="32"/>
        </w:rPr>
      </w:pPr>
      <w:r>
        <w:rPr>
          <w:rFonts w:hint="eastAsia" w:ascii="黑体" w:hAnsi="黑体" w:eastAsia="黑体" w:cs="黑体"/>
          <w:sz w:val="32"/>
          <w:szCs w:val="32"/>
        </w:rPr>
        <w:t>九、其它</w:t>
      </w:r>
    </w:p>
    <w:p>
      <w:pPr>
        <w:ind w:firstLine="560" w:firstLineChars="175"/>
        <w:rPr>
          <w:rFonts w:ascii="仿宋" w:hAnsi="仿宋" w:eastAsia="仿宋"/>
          <w:color w:val="000000"/>
          <w:sz w:val="32"/>
          <w:szCs w:val="32"/>
        </w:rPr>
      </w:pPr>
      <w:r>
        <w:rPr>
          <w:rFonts w:hint="eastAsia" w:ascii="仿宋" w:hAnsi="仿宋" w:eastAsia="仿宋"/>
          <w:color w:val="000000"/>
          <w:sz w:val="32"/>
          <w:szCs w:val="32"/>
        </w:rPr>
        <w:t>1．本招标文件的最终解释权归合肥市第四中学。</w:t>
      </w:r>
    </w:p>
    <w:p>
      <w:pPr>
        <w:spacing w:line="360" w:lineRule="auto"/>
        <w:jc w:val="left"/>
        <w:rPr>
          <w:rFonts w:ascii="仿宋" w:hAnsi="仿宋" w:eastAsia="仿宋"/>
          <w:b/>
          <w:bCs/>
          <w:sz w:val="32"/>
          <w:szCs w:val="32"/>
        </w:rPr>
        <w:sectPr>
          <w:pgSz w:w="11906" w:h="16838"/>
          <w:pgMar w:top="1440" w:right="1800" w:bottom="1440" w:left="1800" w:header="851" w:footer="992" w:gutter="0"/>
          <w:cols w:space="720" w:num="1"/>
          <w:docGrid w:type="lines" w:linePitch="312" w:charSpace="0"/>
        </w:sectPr>
      </w:pPr>
    </w:p>
    <w:p>
      <w:pPr>
        <w:pStyle w:val="38"/>
        <w:adjustRightInd w:val="0"/>
        <w:snapToGrid w:val="0"/>
        <w:spacing w:line="300" w:lineRule="auto"/>
        <w:ind w:firstLine="0" w:firstLineChars="0"/>
        <w:jc w:val="left"/>
        <w:outlineLvl w:val="0"/>
        <w:rPr>
          <w:rFonts w:ascii="宋体" w:hAnsi="宋体" w:eastAsia="宋体" w:cs="宋体"/>
          <w:b/>
          <w:bCs/>
          <w:color w:val="000000"/>
          <w:sz w:val="36"/>
        </w:rPr>
      </w:pPr>
      <w:bookmarkStart w:id="2" w:name="_Toc7723"/>
      <w:r>
        <w:rPr>
          <w:rFonts w:hint="eastAsia" w:ascii="宋体" w:hAnsi="宋体" w:eastAsia="宋体" w:cs="宋体"/>
          <w:b/>
          <w:bCs/>
          <w:color w:val="000000"/>
          <w:sz w:val="36"/>
        </w:rPr>
        <w:t>附件一</w:t>
      </w:r>
    </w:p>
    <w:p>
      <w:pPr>
        <w:pStyle w:val="38"/>
        <w:adjustRightInd w:val="0"/>
        <w:snapToGrid w:val="0"/>
        <w:spacing w:line="300" w:lineRule="auto"/>
        <w:ind w:firstLine="0" w:firstLineChars="0"/>
        <w:jc w:val="center"/>
        <w:outlineLvl w:val="0"/>
        <w:rPr>
          <w:rFonts w:ascii="仿宋" w:hAnsi="仿宋" w:eastAsia="仿宋" w:cs="仿宋"/>
          <w:b/>
          <w:color w:val="000000"/>
          <w:kern w:val="2"/>
          <w:sz w:val="32"/>
          <w:szCs w:val="32"/>
        </w:rPr>
      </w:pPr>
      <w:r>
        <w:rPr>
          <w:rFonts w:hint="eastAsia" w:ascii="仿宋" w:hAnsi="仿宋" w:eastAsia="仿宋" w:cs="仿宋"/>
          <w:b/>
          <w:color w:val="000000"/>
          <w:kern w:val="2"/>
          <w:sz w:val="32"/>
          <w:szCs w:val="32"/>
        </w:rPr>
        <w:t>响应函</w:t>
      </w:r>
      <w:bookmarkEnd w:id="2"/>
    </w:p>
    <w:p>
      <w:pPr>
        <w:pStyle w:val="38"/>
        <w:adjustRightInd w:val="0"/>
        <w:snapToGrid w:val="0"/>
        <w:spacing w:line="420" w:lineRule="exact"/>
        <w:ind w:firstLine="398"/>
        <w:rPr>
          <w:rFonts w:ascii="宋体" w:hAnsi="宋体" w:eastAsia="宋体" w:cs="宋体"/>
          <w:color w:val="000000"/>
          <w:sz w:val="22"/>
        </w:rPr>
      </w:pPr>
    </w:p>
    <w:p>
      <w:pPr>
        <w:pStyle w:val="38"/>
        <w:adjustRightInd w:val="0"/>
        <w:snapToGrid w:val="0"/>
        <w:ind w:firstLine="18" w:firstLineChars="6"/>
        <w:rPr>
          <w:rFonts w:ascii="仿宋" w:hAnsi="仿宋" w:eastAsia="仿宋" w:cs="仿宋"/>
          <w:color w:val="000000"/>
          <w:sz w:val="32"/>
          <w:szCs w:val="32"/>
        </w:rPr>
      </w:pPr>
      <w:r>
        <w:rPr>
          <w:rFonts w:hint="eastAsia" w:ascii="仿宋" w:hAnsi="仿宋" w:eastAsia="仿宋" w:cs="仿宋"/>
          <w:color w:val="000000"/>
          <w:sz w:val="32"/>
          <w:szCs w:val="32"/>
          <w:u w:val="single"/>
        </w:rPr>
        <w:t xml:space="preserve">致               </w:t>
      </w:r>
      <w:r>
        <w:rPr>
          <w:rFonts w:hint="eastAsia" w:ascii="仿宋" w:hAnsi="仿宋" w:eastAsia="仿宋" w:cs="仿宋"/>
          <w:color w:val="000000"/>
          <w:sz w:val="32"/>
          <w:szCs w:val="32"/>
        </w:rPr>
        <w:t>：</w:t>
      </w:r>
    </w:p>
    <w:p>
      <w:pPr>
        <w:pStyle w:val="38"/>
        <w:numPr>
          <w:ilvl w:val="0"/>
          <w:numId w:val="2"/>
        </w:numPr>
        <w:adjustRightInd w:val="0"/>
        <w:snapToGrid w:val="0"/>
        <w:ind w:firstLine="598"/>
        <w:rPr>
          <w:rFonts w:ascii="仿宋" w:hAnsi="仿宋" w:eastAsia="仿宋" w:cs="仿宋"/>
          <w:color w:val="000000"/>
          <w:sz w:val="32"/>
          <w:szCs w:val="32"/>
        </w:rPr>
      </w:pPr>
      <w:r>
        <w:rPr>
          <w:rFonts w:hint="eastAsia" w:ascii="仿宋" w:hAnsi="仿宋" w:eastAsia="仿宋" w:cs="仿宋"/>
          <w:color w:val="000000"/>
          <w:sz w:val="32"/>
          <w:szCs w:val="32"/>
        </w:rPr>
        <w:t>根据已收到的</w:t>
      </w:r>
      <w:r>
        <w:rPr>
          <w:rFonts w:hint="eastAsia" w:ascii="仿宋" w:hAnsi="仿宋" w:eastAsia="仿宋" w:cs="仿宋"/>
          <w:color w:val="000000"/>
          <w:sz w:val="32"/>
          <w:szCs w:val="32"/>
          <w:u w:val="single"/>
        </w:rPr>
        <w:t xml:space="preserve">                   </w:t>
      </w:r>
      <w:r>
        <w:rPr>
          <w:rFonts w:hint="eastAsia" w:ascii="仿宋" w:hAnsi="仿宋" w:eastAsia="仿宋" w:cs="仿宋"/>
          <w:sz w:val="32"/>
          <w:szCs w:val="32"/>
          <w:u w:val="single"/>
        </w:rPr>
        <w:t xml:space="preserve"> </w:t>
      </w:r>
      <w:r>
        <w:rPr>
          <w:rFonts w:hint="eastAsia" w:ascii="仿宋" w:hAnsi="仿宋" w:eastAsia="仿宋" w:cs="仿宋"/>
          <w:color w:val="000000"/>
          <w:sz w:val="32"/>
          <w:szCs w:val="32"/>
        </w:rPr>
        <w:t>项目的询价采购文件，我单位经研究上述项目询价文件的各项条款后，我方愿以人民币</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元（大写</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元）的总价（含</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 xml:space="preserve"> %增值税），按询价文件要求向甲方提供服务。</w:t>
      </w:r>
    </w:p>
    <w:p>
      <w:pPr>
        <w:pStyle w:val="38"/>
        <w:adjustRightInd w:val="0"/>
        <w:snapToGrid w:val="0"/>
        <w:ind w:firstLine="598"/>
        <w:rPr>
          <w:rFonts w:ascii="仿宋" w:hAnsi="仿宋" w:eastAsia="仿宋" w:cs="仿宋"/>
          <w:color w:val="000000"/>
          <w:sz w:val="32"/>
          <w:szCs w:val="32"/>
        </w:rPr>
      </w:pPr>
      <w:r>
        <w:rPr>
          <w:rFonts w:hint="eastAsia" w:ascii="仿宋" w:hAnsi="仿宋" w:eastAsia="仿宋" w:cs="仿宋"/>
          <w:color w:val="000000"/>
          <w:sz w:val="32"/>
          <w:szCs w:val="32"/>
        </w:rPr>
        <w:t>2、我方承诺服务期（工期）为</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 xml:space="preserve">。 </w:t>
      </w:r>
    </w:p>
    <w:p>
      <w:pPr>
        <w:pStyle w:val="38"/>
        <w:adjustRightInd w:val="0"/>
        <w:snapToGrid w:val="0"/>
        <w:ind w:firstLine="598"/>
        <w:rPr>
          <w:rFonts w:ascii="仿宋" w:hAnsi="仿宋" w:eastAsia="仿宋" w:cs="仿宋"/>
          <w:color w:val="000000"/>
          <w:sz w:val="32"/>
          <w:szCs w:val="32"/>
        </w:rPr>
      </w:pPr>
      <w:r>
        <w:rPr>
          <w:rFonts w:hint="eastAsia" w:ascii="仿宋" w:hAnsi="仿宋" w:eastAsia="仿宋" w:cs="仿宋"/>
          <w:color w:val="000000"/>
          <w:sz w:val="32"/>
          <w:szCs w:val="32"/>
        </w:rPr>
        <w:t>3、如果我 方成交，我们保证按上述报价、服务期、完成询价文件规定的全部项目，提交优质的设计文件。</w:t>
      </w:r>
    </w:p>
    <w:p>
      <w:pPr>
        <w:pStyle w:val="38"/>
        <w:adjustRightInd w:val="0"/>
        <w:snapToGrid w:val="0"/>
        <w:ind w:firstLine="598"/>
        <w:rPr>
          <w:rFonts w:ascii="仿宋" w:hAnsi="仿宋" w:eastAsia="仿宋" w:cs="仿宋"/>
          <w:color w:val="000000"/>
          <w:sz w:val="32"/>
          <w:szCs w:val="32"/>
        </w:rPr>
      </w:pPr>
      <w:r>
        <w:rPr>
          <w:rFonts w:hint="eastAsia" w:ascii="仿宋" w:hAnsi="仿宋" w:eastAsia="仿宋" w:cs="仿宋"/>
          <w:color w:val="000000"/>
          <w:sz w:val="32"/>
          <w:szCs w:val="32"/>
        </w:rPr>
        <w:t>4、我们确认已全面熟悉理解并接受询价采购文件的全部内容和要求，并承担依据询价采购文件应予考虑的相应风险。</w:t>
      </w:r>
    </w:p>
    <w:p>
      <w:pPr>
        <w:pStyle w:val="38"/>
        <w:adjustRightInd w:val="0"/>
        <w:snapToGrid w:val="0"/>
        <w:ind w:firstLine="598"/>
        <w:rPr>
          <w:rFonts w:ascii="仿宋" w:hAnsi="仿宋" w:eastAsia="仿宋" w:cs="仿宋"/>
          <w:color w:val="000000"/>
          <w:sz w:val="32"/>
          <w:szCs w:val="32"/>
        </w:rPr>
      </w:pPr>
    </w:p>
    <w:p>
      <w:pPr>
        <w:pStyle w:val="38"/>
        <w:adjustRightInd w:val="0"/>
        <w:snapToGrid w:val="0"/>
        <w:ind w:firstLine="449" w:firstLineChars="150"/>
        <w:rPr>
          <w:rFonts w:ascii="仿宋" w:hAnsi="仿宋" w:eastAsia="仿宋" w:cs="仿宋"/>
          <w:color w:val="000000"/>
          <w:sz w:val="32"/>
          <w:szCs w:val="32"/>
        </w:rPr>
      </w:pPr>
      <w:r>
        <w:rPr>
          <w:rFonts w:hint="eastAsia" w:ascii="仿宋" w:hAnsi="仿宋" w:eastAsia="仿宋" w:cs="仿宋"/>
          <w:color w:val="000000"/>
          <w:sz w:val="32"/>
          <w:szCs w:val="32"/>
        </w:rPr>
        <w:t xml:space="preserve">响应单位：(盖章) </w:t>
      </w:r>
      <w:r>
        <w:rPr>
          <w:rFonts w:hint="eastAsia" w:ascii="仿宋" w:hAnsi="仿宋" w:eastAsia="仿宋" w:cs="仿宋"/>
          <w:sz w:val="32"/>
          <w:szCs w:val="32"/>
        </w:rPr>
        <w:t>（以下信息非常重要必须填写！）</w:t>
      </w:r>
      <w:r>
        <w:rPr>
          <w:rFonts w:hint="eastAsia" w:ascii="仿宋" w:hAnsi="仿宋" w:eastAsia="仿宋" w:cs="仿宋"/>
          <w:color w:val="000000"/>
          <w:sz w:val="32"/>
          <w:szCs w:val="32"/>
        </w:rPr>
        <w:t xml:space="preserve">                                </w:t>
      </w:r>
    </w:p>
    <w:p>
      <w:pPr>
        <w:pStyle w:val="38"/>
        <w:adjustRightInd w:val="0"/>
        <w:snapToGrid w:val="0"/>
        <w:ind w:left="2289" w:leftChars="104" w:hanging="2093" w:hangingChars="700"/>
        <w:rPr>
          <w:rFonts w:ascii="仿宋" w:hAnsi="仿宋" w:eastAsia="仿宋" w:cs="仿宋"/>
          <w:color w:val="000000"/>
          <w:sz w:val="32"/>
          <w:szCs w:val="32"/>
        </w:rPr>
      </w:pPr>
      <w:r>
        <w:rPr>
          <w:rFonts w:hint="eastAsia" w:ascii="仿宋" w:hAnsi="仿宋" w:eastAsia="仿宋" w:cs="仿宋"/>
          <w:color w:val="000000"/>
          <w:sz w:val="32"/>
          <w:szCs w:val="32"/>
        </w:rPr>
        <w:t xml:space="preserve"> 单位通讯地址：</w:t>
      </w:r>
    </w:p>
    <w:p>
      <w:pPr>
        <w:pStyle w:val="38"/>
        <w:adjustRightInd w:val="0"/>
        <w:snapToGrid w:val="0"/>
        <w:ind w:firstLine="299" w:firstLineChars="100"/>
        <w:rPr>
          <w:rFonts w:ascii="仿宋" w:hAnsi="仿宋" w:eastAsia="仿宋" w:cs="仿宋"/>
          <w:color w:val="000000"/>
          <w:sz w:val="32"/>
          <w:szCs w:val="32"/>
        </w:rPr>
      </w:pPr>
      <w:r>
        <w:rPr>
          <w:rFonts w:hint="eastAsia" w:ascii="仿宋" w:hAnsi="仿宋" w:eastAsia="仿宋" w:cs="仿宋"/>
          <w:color w:val="000000"/>
          <w:sz w:val="32"/>
          <w:szCs w:val="32"/>
        </w:rPr>
        <w:t xml:space="preserve"> 邮编：</w:t>
      </w:r>
    </w:p>
    <w:p>
      <w:pPr>
        <w:pStyle w:val="38"/>
        <w:adjustRightInd w:val="0"/>
        <w:snapToGrid w:val="0"/>
        <w:ind w:firstLine="299" w:firstLineChars="100"/>
        <w:rPr>
          <w:rFonts w:ascii="仿宋" w:hAnsi="仿宋" w:eastAsia="仿宋" w:cs="仿宋"/>
          <w:color w:val="000000"/>
          <w:sz w:val="32"/>
          <w:szCs w:val="32"/>
        </w:rPr>
      </w:pPr>
      <w:r>
        <w:rPr>
          <w:rFonts w:hint="eastAsia" w:ascii="仿宋" w:hAnsi="仿宋" w:eastAsia="仿宋" w:cs="仿宋"/>
          <w:color w:val="000000"/>
          <w:sz w:val="32"/>
          <w:szCs w:val="32"/>
        </w:rPr>
        <w:t xml:space="preserve"> 电话：</w:t>
      </w:r>
    </w:p>
    <w:p>
      <w:pPr>
        <w:pStyle w:val="38"/>
        <w:adjustRightInd w:val="0"/>
        <w:snapToGrid w:val="0"/>
        <w:ind w:firstLine="449" w:firstLineChars="150"/>
        <w:rPr>
          <w:rFonts w:ascii="仿宋" w:hAnsi="仿宋" w:eastAsia="仿宋" w:cs="仿宋"/>
          <w:color w:val="000000"/>
          <w:sz w:val="32"/>
          <w:szCs w:val="32"/>
        </w:rPr>
      </w:pPr>
      <w:r>
        <w:rPr>
          <w:rFonts w:hint="eastAsia" w:ascii="仿宋" w:hAnsi="仿宋" w:eastAsia="仿宋" w:cs="仿宋"/>
          <w:color w:val="000000"/>
          <w:sz w:val="32"/>
          <w:szCs w:val="32"/>
        </w:rPr>
        <w:t>联系人：</w:t>
      </w:r>
    </w:p>
    <w:p>
      <w:pPr>
        <w:pStyle w:val="38"/>
        <w:adjustRightInd w:val="0"/>
        <w:snapToGrid w:val="0"/>
        <w:ind w:firstLine="0" w:firstLineChars="0"/>
        <w:rPr>
          <w:rFonts w:ascii="仿宋" w:hAnsi="仿宋" w:eastAsia="仿宋" w:cs="仿宋"/>
          <w:color w:val="000000"/>
          <w:sz w:val="32"/>
          <w:szCs w:val="32"/>
        </w:rPr>
      </w:pPr>
    </w:p>
    <w:p>
      <w:pPr>
        <w:pStyle w:val="38"/>
        <w:adjustRightInd w:val="0"/>
        <w:snapToGrid w:val="0"/>
        <w:ind w:firstLine="598"/>
        <w:rPr>
          <w:rFonts w:ascii="仿宋" w:hAnsi="仿宋" w:eastAsia="仿宋" w:cs="仿宋"/>
          <w:color w:val="000000"/>
          <w:sz w:val="32"/>
          <w:szCs w:val="32"/>
        </w:rPr>
      </w:pPr>
      <w:r>
        <w:rPr>
          <w:rFonts w:hint="eastAsia" w:ascii="仿宋" w:hAnsi="仿宋" w:eastAsia="仿宋" w:cs="仿宋"/>
          <w:color w:val="000000"/>
          <w:sz w:val="32"/>
          <w:szCs w:val="32"/>
        </w:rPr>
        <w:t>法定代表人或委托代理人：(盖章)</w:t>
      </w:r>
    </w:p>
    <w:p>
      <w:pPr>
        <w:pStyle w:val="38"/>
        <w:adjustRightInd w:val="0"/>
        <w:snapToGrid w:val="0"/>
        <w:ind w:firstLine="598"/>
        <w:rPr>
          <w:rFonts w:ascii="仿宋" w:hAnsi="仿宋" w:eastAsia="仿宋" w:cs="仿宋"/>
          <w:color w:val="000000"/>
          <w:sz w:val="32"/>
          <w:szCs w:val="32"/>
        </w:rPr>
      </w:pPr>
    </w:p>
    <w:p>
      <w:pPr>
        <w:pStyle w:val="38"/>
        <w:adjustRightInd w:val="0"/>
        <w:snapToGrid w:val="0"/>
        <w:ind w:left="-7" w:leftChars="-4" w:firstLine="598"/>
        <w:rPr>
          <w:rFonts w:ascii="仿宋" w:hAnsi="仿宋" w:eastAsia="仿宋" w:cs="仿宋"/>
          <w:b/>
          <w:color w:val="000000"/>
          <w:sz w:val="32"/>
          <w:szCs w:val="32"/>
        </w:rPr>
      </w:pPr>
      <w:r>
        <w:rPr>
          <w:rFonts w:hint="eastAsia" w:ascii="仿宋" w:hAnsi="仿宋" w:eastAsia="仿宋" w:cs="仿宋"/>
          <w:color w:val="000000"/>
          <w:sz w:val="32"/>
          <w:szCs w:val="32"/>
        </w:rPr>
        <w:t>日期：</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年</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 xml:space="preserve"> 月</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日</w:t>
      </w:r>
    </w:p>
    <w:p>
      <w:pPr>
        <w:spacing w:line="360" w:lineRule="auto"/>
        <w:jc w:val="left"/>
        <w:outlineLvl w:val="0"/>
        <w:rPr>
          <w:rFonts w:ascii="仿宋" w:hAnsi="仿宋" w:eastAsia="仿宋" w:cs="仿宋"/>
          <w:b/>
          <w:color w:val="000000"/>
          <w:sz w:val="32"/>
          <w:szCs w:val="32"/>
        </w:rPr>
      </w:pPr>
      <w:bookmarkStart w:id="3" w:name="_Toc26339"/>
      <w:r>
        <w:rPr>
          <w:rFonts w:hint="eastAsia" w:ascii="仿宋" w:hAnsi="仿宋" w:eastAsia="仿宋" w:cs="仿宋"/>
          <w:b/>
          <w:color w:val="000000"/>
          <w:sz w:val="32"/>
          <w:szCs w:val="32"/>
        </w:rPr>
        <w:t>附件二</w:t>
      </w:r>
    </w:p>
    <w:p>
      <w:pPr>
        <w:spacing w:line="360" w:lineRule="auto"/>
        <w:jc w:val="center"/>
        <w:outlineLvl w:val="0"/>
        <w:rPr>
          <w:rFonts w:ascii="仿宋" w:hAnsi="仿宋" w:eastAsia="仿宋" w:cs="仿宋"/>
          <w:b/>
          <w:color w:val="000000"/>
          <w:sz w:val="32"/>
          <w:szCs w:val="32"/>
        </w:rPr>
      </w:pPr>
      <w:r>
        <w:rPr>
          <w:rFonts w:hint="eastAsia" w:ascii="仿宋" w:hAnsi="仿宋" w:eastAsia="仿宋" w:cs="仿宋"/>
          <w:b/>
          <w:color w:val="000000"/>
          <w:sz w:val="32"/>
          <w:szCs w:val="32"/>
        </w:rPr>
        <w:t>授权委托书</w:t>
      </w:r>
      <w:bookmarkEnd w:id="3"/>
    </w:p>
    <w:p>
      <w:pPr>
        <w:spacing w:line="360" w:lineRule="auto"/>
        <w:jc w:val="center"/>
        <w:rPr>
          <w:rFonts w:ascii="仿宋" w:hAnsi="仿宋" w:eastAsia="仿宋" w:cs="仿宋"/>
          <w:b/>
          <w:color w:val="000000"/>
          <w:sz w:val="32"/>
          <w:szCs w:val="32"/>
        </w:rPr>
      </w:pPr>
    </w:p>
    <w:p>
      <w:pPr>
        <w:adjustRightInd w:val="0"/>
        <w:snapToGrid w:val="0"/>
        <w:spacing w:line="360" w:lineRule="auto"/>
        <w:ind w:firstLine="598" w:firstLineChars="200"/>
        <w:rPr>
          <w:rFonts w:ascii="仿宋" w:hAnsi="仿宋" w:eastAsia="仿宋" w:cs="仿宋"/>
          <w:color w:val="000000"/>
          <w:sz w:val="32"/>
          <w:szCs w:val="32"/>
        </w:rPr>
      </w:pPr>
      <w:r>
        <w:rPr>
          <w:rFonts w:hint="eastAsia" w:ascii="仿宋" w:hAnsi="仿宋" w:eastAsia="仿宋" w:cs="仿宋"/>
          <w:color w:val="000000"/>
          <w:sz w:val="32"/>
          <w:szCs w:val="32"/>
        </w:rPr>
        <w:t>本授权委托书申明：我</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（姓名）系</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(响应单位名称)的法定代表人，现授权委托</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（单位名称）的</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姓名）为我公司代理人，以本公司的名义参加</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组织的</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项目的询价活动。代理人在询价全过程中所签署的一切文件和处理与之有关的一切事务，我均予以承认。</w:t>
      </w:r>
    </w:p>
    <w:p>
      <w:pPr>
        <w:adjustRightInd w:val="0"/>
        <w:snapToGrid w:val="0"/>
        <w:spacing w:line="360" w:lineRule="auto"/>
        <w:ind w:firstLine="397"/>
        <w:rPr>
          <w:rFonts w:ascii="仿宋" w:hAnsi="仿宋" w:eastAsia="仿宋" w:cs="仿宋"/>
          <w:color w:val="000000"/>
          <w:sz w:val="32"/>
          <w:szCs w:val="32"/>
        </w:rPr>
      </w:pPr>
      <w:r>
        <w:rPr>
          <w:rFonts w:hint="eastAsia" w:ascii="仿宋" w:hAnsi="仿宋" w:eastAsia="仿宋" w:cs="仿宋"/>
          <w:color w:val="000000"/>
          <w:sz w:val="32"/>
          <w:szCs w:val="32"/>
        </w:rPr>
        <w:t xml:space="preserve"> 代理人无转委托权，特此委托。</w:t>
      </w:r>
    </w:p>
    <w:p>
      <w:pPr>
        <w:adjustRightInd w:val="0"/>
        <w:snapToGrid w:val="0"/>
        <w:spacing w:line="360" w:lineRule="auto"/>
        <w:ind w:firstLine="397"/>
        <w:rPr>
          <w:rFonts w:ascii="仿宋" w:hAnsi="仿宋" w:eastAsia="仿宋" w:cs="仿宋"/>
          <w:color w:val="000000"/>
          <w:sz w:val="32"/>
          <w:szCs w:val="32"/>
        </w:rPr>
      </w:pPr>
    </w:p>
    <w:p>
      <w:pPr>
        <w:adjustRightInd w:val="0"/>
        <w:snapToGrid w:val="0"/>
        <w:spacing w:line="360" w:lineRule="auto"/>
        <w:ind w:firstLine="397"/>
        <w:rPr>
          <w:rFonts w:ascii="仿宋" w:hAnsi="仿宋" w:eastAsia="仿宋" w:cs="仿宋"/>
          <w:color w:val="000000"/>
          <w:sz w:val="32"/>
          <w:szCs w:val="32"/>
        </w:rPr>
      </w:pPr>
      <w:r>
        <w:rPr>
          <w:rFonts w:hint="eastAsia" w:ascii="仿宋" w:hAnsi="仿宋" w:eastAsia="仿宋" w:cs="仿宋"/>
          <w:color w:val="000000"/>
          <w:sz w:val="32"/>
          <w:szCs w:val="32"/>
        </w:rPr>
        <w:t>代理人：</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性别：</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年龄：</w:t>
      </w:r>
      <w:r>
        <w:rPr>
          <w:rFonts w:hint="eastAsia" w:ascii="仿宋" w:hAnsi="仿宋" w:eastAsia="仿宋" w:cs="仿宋"/>
          <w:color w:val="000000"/>
          <w:sz w:val="32"/>
          <w:szCs w:val="32"/>
          <w:u w:val="single"/>
        </w:rPr>
        <w:t xml:space="preserve">        </w:t>
      </w:r>
    </w:p>
    <w:p>
      <w:pPr>
        <w:adjustRightInd w:val="0"/>
        <w:snapToGrid w:val="0"/>
        <w:spacing w:line="360" w:lineRule="auto"/>
        <w:ind w:firstLine="397"/>
        <w:rPr>
          <w:rFonts w:ascii="仿宋" w:hAnsi="仿宋" w:eastAsia="仿宋" w:cs="仿宋"/>
          <w:color w:val="000000"/>
          <w:sz w:val="32"/>
          <w:szCs w:val="32"/>
        </w:rPr>
      </w:pPr>
      <w:r>
        <w:rPr>
          <w:rFonts w:hint="eastAsia" w:ascii="仿宋" w:hAnsi="仿宋" w:eastAsia="仿宋" w:cs="仿宋"/>
          <w:color w:val="000000"/>
          <w:sz w:val="32"/>
          <w:szCs w:val="32"/>
        </w:rPr>
        <w:t>单位：</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部门：</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职务：</w:t>
      </w:r>
      <w:r>
        <w:rPr>
          <w:rFonts w:hint="eastAsia" w:ascii="仿宋" w:hAnsi="仿宋" w:eastAsia="仿宋" w:cs="仿宋"/>
          <w:color w:val="000000"/>
          <w:sz w:val="32"/>
          <w:szCs w:val="32"/>
          <w:u w:val="single"/>
        </w:rPr>
        <w:t xml:space="preserve">    </w:t>
      </w:r>
    </w:p>
    <w:p>
      <w:pPr>
        <w:adjustRightInd w:val="0"/>
        <w:snapToGrid w:val="0"/>
        <w:spacing w:line="360" w:lineRule="auto"/>
        <w:rPr>
          <w:rFonts w:ascii="仿宋" w:hAnsi="仿宋" w:eastAsia="仿宋" w:cs="仿宋"/>
          <w:color w:val="000000"/>
          <w:sz w:val="32"/>
          <w:szCs w:val="32"/>
        </w:rPr>
      </w:pPr>
    </w:p>
    <w:p>
      <w:pPr>
        <w:adjustRightInd w:val="0"/>
        <w:snapToGrid w:val="0"/>
        <w:spacing w:line="360" w:lineRule="auto"/>
        <w:ind w:firstLine="397"/>
        <w:rPr>
          <w:rFonts w:ascii="仿宋" w:hAnsi="仿宋" w:eastAsia="仿宋" w:cs="仿宋"/>
          <w:color w:val="000000"/>
          <w:sz w:val="32"/>
          <w:szCs w:val="32"/>
        </w:rPr>
      </w:pPr>
      <w:r>
        <w:rPr>
          <w:rFonts w:hint="eastAsia" w:ascii="仿宋" w:hAnsi="仿宋" w:eastAsia="仿宋" w:cs="仿宋"/>
          <w:color w:val="000000"/>
          <w:sz w:val="32"/>
          <w:szCs w:val="32"/>
        </w:rPr>
        <w:t>响应单位：（公章）</w:t>
      </w:r>
    </w:p>
    <w:p>
      <w:pPr>
        <w:adjustRightInd w:val="0"/>
        <w:snapToGrid w:val="0"/>
        <w:spacing w:line="360" w:lineRule="auto"/>
        <w:ind w:firstLine="397"/>
        <w:rPr>
          <w:rFonts w:ascii="仿宋" w:hAnsi="仿宋" w:eastAsia="仿宋" w:cs="仿宋"/>
          <w:color w:val="000000"/>
          <w:sz w:val="32"/>
          <w:szCs w:val="32"/>
        </w:rPr>
      </w:pPr>
      <w:r>
        <w:rPr>
          <w:rFonts w:hint="eastAsia" w:ascii="仿宋" w:hAnsi="仿宋" w:eastAsia="仿宋" w:cs="仿宋"/>
          <w:color w:val="000000"/>
          <w:sz w:val="32"/>
          <w:szCs w:val="32"/>
        </w:rPr>
        <w:t>法定代表人：（签字或盖章）</w:t>
      </w:r>
    </w:p>
    <w:p>
      <w:pPr>
        <w:adjustRightInd w:val="0"/>
        <w:snapToGrid w:val="0"/>
        <w:spacing w:line="360" w:lineRule="auto"/>
        <w:ind w:firstLine="397"/>
        <w:rPr>
          <w:rFonts w:ascii="仿宋" w:hAnsi="仿宋" w:eastAsia="仿宋" w:cs="仿宋"/>
          <w:color w:val="000000"/>
          <w:sz w:val="32"/>
          <w:szCs w:val="32"/>
        </w:rPr>
      </w:pPr>
      <w:r>
        <w:rPr>
          <w:rFonts w:hint="eastAsia" w:ascii="仿宋" w:hAnsi="仿宋" w:eastAsia="仿宋" w:cs="仿宋"/>
          <w:color w:val="000000"/>
          <w:sz w:val="32"/>
          <w:szCs w:val="32"/>
        </w:rPr>
        <w:t>代理人：（签字或盖章）</w:t>
      </w:r>
    </w:p>
    <w:p>
      <w:pPr>
        <w:adjustRightInd w:val="0"/>
        <w:snapToGrid w:val="0"/>
        <w:spacing w:line="360" w:lineRule="auto"/>
        <w:ind w:firstLine="397"/>
        <w:rPr>
          <w:rFonts w:ascii="仿宋" w:hAnsi="仿宋" w:eastAsia="仿宋" w:cs="仿宋"/>
          <w:b/>
          <w:bCs/>
          <w:color w:val="000000"/>
          <w:sz w:val="32"/>
          <w:szCs w:val="32"/>
        </w:rPr>
      </w:pPr>
      <w:r>
        <w:rPr>
          <w:rFonts w:hint="eastAsia" w:ascii="仿宋" w:hAnsi="仿宋" w:eastAsia="仿宋" w:cs="仿宋"/>
          <w:color w:val="000000"/>
          <w:sz w:val="32"/>
          <w:szCs w:val="32"/>
        </w:rPr>
        <w:t>日期：</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年</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月</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日</w:t>
      </w:r>
    </w:p>
    <w:p>
      <w:pPr>
        <w:spacing w:line="360" w:lineRule="auto"/>
        <w:rPr>
          <w:rFonts w:ascii="仿宋" w:hAnsi="仿宋" w:eastAsia="仿宋" w:cs="仿宋"/>
          <w:color w:val="000000"/>
          <w:sz w:val="32"/>
          <w:szCs w:val="32"/>
        </w:rPr>
      </w:pPr>
      <w:r>
        <w:rPr>
          <w:rFonts w:hint="eastAsia" w:ascii="仿宋" w:hAnsi="仿宋" w:eastAsia="仿宋" w:cs="仿宋"/>
          <w:b/>
          <w:bCs/>
          <w:color w:val="000000"/>
          <w:sz w:val="32"/>
          <w:szCs w:val="32"/>
        </w:rPr>
        <w:t>附：</w:t>
      </w:r>
    </w:p>
    <w:tbl>
      <w:tblPr>
        <w:tblStyle w:val="17"/>
        <w:tblW w:w="0" w:type="auto"/>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5" w:hRule="atLeast"/>
        </w:trPr>
        <w:tc>
          <w:tcPr>
            <w:tcW w:w="8485" w:type="dxa"/>
            <w:vAlign w:val="center"/>
          </w:tcPr>
          <w:p>
            <w:pPr>
              <w:spacing w:line="360" w:lineRule="auto"/>
              <w:jc w:val="center"/>
              <w:rPr>
                <w:rFonts w:ascii="仿宋" w:hAnsi="仿宋" w:eastAsia="仿宋" w:cs="仿宋"/>
                <w:color w:val="000000"/>
                <w:sz w:val="32"/>
                <w:szCs w:val="32"/>
              </w:rPr>
            </w:pPr>
            <w:r>
              <w:rPr>
                <w:rFonts w:hint="eastAsia" w:ascii="仿宋" w:hAnsi="仿宋" w:eastAsia="仿宋" w:cs="仿宋"/>
                <w:color w:val="000000"/>
                <w:sz w:val="32"/>
                <w:szCs w:val="32"/>
              </w:rPr>
              <w:t>附委托人和被委托人身份证复印件</w:t>
            </w:r>
          </w:p>
        </w:tc>
      </w:tr>
    </w:tbl>
    <w:p>
      <w:pPr>
        <w:spacing w:line="360" w:lineRule="auto"/>
        <w:jc w:val="left"/>
        <w:outlineLvl w:val="0"/>
        <w:rPr>
          <w:rFonts w:ascii="仿宋" w:hAnsi="仿宋" w:eastAsia="仿宋" w:cs="仿宋"/>
          <w:b/>
          <w:color w:val="000000"/>
          <w:sz w:val="32"/>
          <w:szCs w:val="32"/>
        </w:rPr>
      </w:pPr>
      <w:r>
        <w:rPr>
          <w:rFonts w:hint="eastAsia" w:ascii="仿宋" w:hAnsi="仿宋" w:eastAsia="仿宋" w:cs="仿宋"/>
          <w:b/>
          <w:color w:val="000000"/>
          <w:sz w:val="32"/>
          <w:szCs w:val="32"/>
        </w:rPr>
        <w:t>附件三</w:t>
      </w:r>
    </w:p>
    <w:p>
      <w:pPr>
        <w:spacing w:line="360" w:lineRule="auto"/>
        <w:jc w:val="center"/>
        <w:outlineLvl w:val="0"/>
        <w:rPr>
          <w:rFonts w:ascii="仿宋" w:hAnsi="仿宋" w:eastAsia="仿宋" w:cs="仿宋"/>
          <w:b/>
          <w:color w:val="000000"/>
          <w:sz w:val="32"/>
          <w:szCs w:val="32"/>
        </w:rPr>
      </w:pPr>
      <w:r>
        <w:rPr>
          <w:rFonts w:hint="eastAsia" w:ascii="仿宋" w:hAnsi="仿宋" w:eastAsia="仿宋" w:cs="仿宋"/>
          <w:b/>
          <w:color w:val="000000"/>
          <w:sz w:val="32"/>
          <w:szCs w:val="32"/>
        </w:rPr>
        <w:t>项目报价书</w:t>
      </w:r>
    </w:p>
    <w:p>
      <w:r>
        <w:rPr>
          <w:rFonts w:hint="eastAsia" w:ascii="仿宋" w:hAnsi="仿宋" w:eastAsia="仿宋"/>
          <w:color w:val="000000"/>
          <w:sz w:val="30"/>
          <w:szCs w:val="30"/>
        </w:rPr>
        <w:t xml:space="preserve">  </w:t>
      </w:r>
    </w:p>
    <w:tbl>
      <w:tblPr>
        <w:tblStyle w:val="17"/>
        <w:tblW w:w="910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45"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项目名称</w:t>
            </w:r>
          </w:p>
        </w:tc>
        <w:tc>
          <w:tcPr>
            <w:tcW w:w="6480" w:type="dxa"/>
            <w:tcBorders>
              <w:top w:val="single" w:color="auto" w:sz="4" w:space="0"/>
              <w:left w:val="single" w:color="auto" w:sz="4" w:space="0"/>
              <w:bottom w:val="single" w:color="auto" w:sz="4" w:space="0"/>
              <w:right w:val="single" w:color="auto" w:sz="4" w:space="0"/>
            </w:tcBorders>
            <w:vAlign w:val="center"/>
          </w:tcPr>
          <w:p>
            <w:pPr>
              <w:pStyle w:val="12"/>
              <w:snapToGrid w:val="0"/>
              <w:spacing w:line="240" w:lineRule="atLeast"/>
              <w:ind w:firstLine="274" w:firstLineChars="98"/>
              <w:jc w:val="center"/>
              <w:rPr>
                <w:rFonts w:ascii="仿宋" w:hAnsi="仿宋" w:eastAsia="仿宋" w:cs="Times New Roman"/>
                <w:b w:val="0"/>
                <w:bCs/>
                <w:color w:val="000000"/>
                <w:sz w:val="30"/>
                <w:szCs w:val="30"/>
              </w:rPr>
            </w:pPr>
            <w:r>
              <w:rPr>
                <w:rFonts w:hint="eastAsia" w:ascii="仿宋" w:hAnsi="仿宋" w:eastAsia="仿宋" w:cs="Times New Roman"/>
                <w:b w:val="0"/>
                <w:bCs/>
                <w:color w:val="000000"/>
                <w:sz w:val="30"/>
                <w:szCs w:val="30"/>
              </w:rPr>
              <w:t>合肥市第四中学官方网站系统网络安全等级保护测评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55"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投标单位名称</w:t>
            </w:r>
          </w:p>
          <w:p>
            <w:pPr>
              <w:snapToGrid w:val="0"/>
              <w:spacing w:line="240" w:lineRule="atLeast"/>
              <w:jc w:val="center"/>
              <w:rPr>
                <w:rFonts w:ascii="仿宋" w:hAnsi="仿宋" w:eastAsia="仿宋"/>
                <w:bCs/>
                <w:color w:val="000000"/>
                <w:sz w:val="30"/>
                <w:szCs w:val="30"/>
              </w:rPr>
            </w:pPr>
            <w:r>
              <w:rPr>
                <w:rFonts w:hint="eastAsia" w:ascii="仿宋" w:hAnsi="仿宋" w:eastAsia="仿宋"/>
                <w:color w:val="000000"/>
                <w:sz w:val="30"/>
                <w:szCs w:val="30"/>
              </w:rPr>
              <w:t>（盖章）：</w:t>
            </w:r>
          </w:p>
        </w:tc>
        <w:tc>
          <w:tcPr>
            <w:tcW w:w="6480" w:type="dxa"/>
            <w:tcBorders>
              <w:top w:val="single" w:color="auto" w:sz="4" w:space="0"/>
              <w:left w:val="single" w:color="auto" w:sz="4" w:space="0"/>
              <w:bottom w:val="single" w:color="auto" w:sz="4" w:space="0"/>
              <w:right w:val="single" w:color="auto" w:sz="4" w:space="0"/>
            </w:tcBorders>
          </w:tcPr>
          <w:p>
            <w:pPr>
              <w:snapToGrid w:val="0"/>
              <w:spacing w:line="240" w:lineRule="atLeast"/>
              <w:rPr>
                <w:rFonts w:ascii="仿宋" w:hAnsi="仿宋" w:eastAsia="仿宋"/>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93"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投标报价</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color w:val="000000"/>
                <w:sz w:val="30"/>
                <w:szCs w:val="30"/>
              </w:rPr>
            </w:pPr>
            <w:r>
              <w:rPr>
                <w:rFonts w:hint="eastAsia" w:ascii="仿宋" w:hAnsi="仿宋" w:eastAsia="仿宋"/>
                <w:bCs/>
                <w:color w:val="000000"/>
                <w:sz w:val="30"/>
                <w:szCs w:val="30"/>
              </w:rPr>
              <w:t>（大写）：</w:t>
            </w:r>
          </w:p>
          <w:p>
            <w:pPr>
              <w:snapToGrid w:val="0"/>
              <w:spacing w:line="360" w:lineRule="auto"/>
              <w:rPr>
                <w:rFonts w:ascii="仿宋" w:hAnsi="仿宋" w:eastAsia="仿宋"/>
                <w:bCs/>
                <w:color w:val="000000"/>
                <w:sz w:val="30"/>
                <w:szCs w:val="30"/>
                <w:u w:val="single"/>
              </w:rPr>
            </w:pPr>
            <w:r>
              <w:rPr>
                <w:rFonts w:hint="eastAsia" w:ascii="仿宋" w:hAnsi="仿宋" w:eastAsia="仿宋"/>
                <w:bCs/>
                <w:color w:val="000000"/>
                <w:sz w:val="30"/>
                <w:szCs w:val="30"/>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94"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工期</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仿宋" w:hAnsi="仿宋" w:eastAsia="仿宋"/>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94" w:hRule="atLeast"/>
        </w:trPr>
        <w:tc>
          <w:tcPr>
            <w:tcW w:w="9105" w:type="dxa"/>
            <w:gridSpan w:val="2"/>
            <w:tcBorders>
              <w:top w:val="single" w:color="auto" w:sz="4" w:space="0"/>
              <w:left w:val="single" w:color="auto" w:sz="4" w:space="0"/>
              <w:bottom w:val="single" w:color="auto" w:sz="4" w:space="0"/>
              <w:right w:val="single" w:color="auto" w:sz="4" w:space="0"/>
            </w:tcBorders>
          </w:tcPr>
          <w:p>
            <w:pPr>
              <w:snapToGrid w:val="0"/>
              <w:spacing w:line="240" w:lineRule="atLeast"/>
              <w:rPr>
                <w:rFonts w:ascii="仿宋" w:hAnsi="仿宋" w:eastAsia="仿宋"/>
                <w:bCs/>
                <w:color w:val="000000"/>
                <w:sz w:val="30"/>
                <w:szCs w:val="30"/>
              </w:rPr>
            </w:pPr>
            <w:r>
              <w:rPr>
                <w:rFonts w:hint="eastAsia" w:ascii="仿宋" w:hAnsi="仿宋" w:eastAsia="仿宋"/>
                <w:bCs/>
                <w:color w:val="000000"/>
                <w:sz w:val="30"/>
                <w:szCs w:val="30"/>
              </w:rPr>
              <w:t>其他说明：</w:t>
            </w:r>
          </w:p>
        </w:tc>
      </w:tr>
    </w:tbl>
    <w:p>
      <w:pPr>
        <w:snapToGrid w:val="0"/>
        <w:spacing w:line="240" w:lineRule="atLeast"/>
        <w:rPr>
          <w:rFonts w:ascii="仿宋" w:hAnsi="仿宋" w:eastAsia="仿宋"/>
          <w:color w:val="000000"/>
          <w:sz w:val="30"/>
          <w:szCs w:val="30"/>
        </w:rPr>
      </w:pPr>
    </w:p>
    <w:p>
      <w:pPr>
        <w:snapToGrid w:val="0"/>
        <w:spacing w:line="240" w:lineRule="atLeast"/>
        <w:rPr>
          <w:rFonts w:ascii="仿宋" w:hAnsi="仿宋" w:eastAsia="仿宋"/>
          <w:color w:val="000000"/>
          <w:sz w:val="30"/>
          <w:szCs w:val="30"/>
        </w:rPr>
      </w:pPr>
      <w:r>
        <w:rPr>
          <w:rFonts w:hint="eastAsia" w:ascii="仿宋" w:hAnsi="仿宋" w:eastAsia="仿宋"/>
          <w:color w:val="000000"/>
          <w:sz w:val="30"/>
          <w:szCs w:val="30"/>
        </w:rPr>
        <w:t xml:space="preserve">                             </w:t>
      </w:r>
    </w:p>
    <w:p>
      <w:pPr>
        <w:snapToGrid w:val="0"/>
        <w:spacing w:line="240" w:lineRule="atLeast"/>
        <w:ind w:firstLine="4464" w:firstLineChars="1600"/>
        <w:rPr>
          <w:rFonts w:ascii="仿宋" w:hAnsi="仿宋" w:eastAsia="仿宋"/>
          <w:color w:val="000000"/>
          <w:sz w:val="30"/>
          <w:szCs w:val="30"/>
        </w:rPr>
      </w:pPr>
      <w:r>
        <w:rPr>
          <w:rFonts w:hint="eastAsia" w:ascii="仿宋" w:hAnsi="仿宋" w:eastAsia="仿宋"/>
          <w:color w:val="000000"/>
          <w:sz w:val="30"/>
          <w:szCs w:val="30"/>
        </w:rPr>
        <w:t>法人代表或代理人签字：</w:t>
      </w:r>
    </w:p>
    <w:p>
      <w:pPr>
        <w:snapToGrid w:val="0"/>
        <w:spacing w:line="240" w:lineRule="atLeast"/>
        <w:ind w:firstLine="5580" w:firstLineChars="2000"/>
        <w:rPr>
          <w:rFonts w:ascii="仿宋" w:hAnsi="仿宋" w:eastAsia="仿宋"/>
          <w:color w:val="000000"/>
          <w:sz w:val="30"/>
          <w:szCs w:val="30"/>
        </w:rPr>
      </w:pPr>
      <w:r>
        <w:rPr>
          <w:rFonts w:hint="eastAsia" w:ascii="仿宋" w:hAnsi="仿宋" w:eastAsia="仿宋"/>
          <w:color w:val="000000"/>
          <w:sz w:val="30"/>
          <w:szCs w:val="30"/>
        </w:rPr>
        <w:t xml:space="preserve"> </w:t>
      </w:r>
    </w:p>
    <w:p>
      <w:pPr>
        <w:snapToGrid w:val="0"/>
        <w:spacing w:line="240" w:lineRule="atLeast"/>
        <w:ind w:firstLine="4464" w:firstLineChars="1600"/>
        <w:rPr>
          <w:rFonts w:ascii="仿宋" w:hAnsi="仿宋" w:eastAsia="仿宋"/>
          <w:color w:val="000000"/>
          <w:sz w:val="30"/>
          <w:szCs w:val="30"/>
        </w:rPr>
      </w:pPr>
      <w:r>
        <w:rPr>
          <w:rFonts w:hint="eastAsia" w:ascii="仿宋" w:hAnsi="仿宋" w:eastAsia="仿宋"/>
          <w:color w:val="000000"/>
          <w:sz w:val="30"/>
          <w:szCs w:val="30"/>
        </w:rPr>
        <w:t>日期：</w:t>
      </w:r>
    </w:p>
    <w:p>
      <w:pPr>
        <w:ind w:right="360"/>
        <w:rPr>
          <w:rFonts w:ascii="宋体" w:hAnsi="宋体"/>
          <w:bCs/>
          <w:color w:val="000000"/>
          <w:sz w:val="30"/>
          <w:szCs w:val="30"/>
        </w:rPr>
      </w:pPr>
      <w:r>
        <w:rPr>
          <w:rFonts w:hint="eastAsia" w:ascii="宋体" w:hAnsi="宋体"/>
          <w:bCs/>
          <w:color w:val="000000"/>
          <w:sz w:val="30"/>
          <w:szCs w:val="30"/>
        </w:rPr>
        <w:t xml:space="preserve">   </w:t>
      </w:r>
    </w:p>
    <w:p>
      <w:pPr>
        <w:pStyle w:val="2"/>
      </w:pPr>
    </w:p>
    <w:sectPr>
      <w:footerReference r:id="rId3" w:type="default"/>
      <w:pgSz w:w="11906" w:h="16838"/>
      <w:pgMar w:top="1440" w:right="1400" w:bottom="1298" w:left="1531" w:header="851" w:footer="992" w:gutter="0"/>
      <w:pgNumType w:fmt="numberInDash"/>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E1002AFF" w:usb1="C000605B" w:usb2="00000029" w:usb3="00000000" w:csb0="200101FF" w:csb1="20280000"/>
  </w:font>
  <w:font w:name="楷体_GB2312">
    <w:altName w:val="汉仪楷体简"/>
    <w:panose1 w:val="00000000000000000000"/>
    <w:charset w:val="86"/>
    <w:family w:val="auto"/>
    <w:pitch w:val="default"/>
    <w:sig w:usb0="00000000" w:usb1="00000000" w:usb2="00000000" w:usb3="00000000" w:csb0="00040000" w:csb1="00000000"/>
  </w:font>
  <w:font w:name="方正小标宋简体">
    <w:altName w:val="汉仪书宋二KW"/>
    <w:panose1 w:val="00000000000000000000"/>
    <w:charset w:val="86"/>
    <w:family w:val="auto"/>
    <w:pitch w:val="default"/>
    <w:sig w:usb0="00000000" w:usb1="00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C0Q131ywEAAJwDAAAOAAAA&#10;AAAAAAEAIAAAADQBAABkcnMvZTJvRG9jLnhtbFBLBQYAAAAABgAGAFkBAABxBQ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357941"/>
    <w:multiLevelType w:val="singleLevel"/>
    <w:tmpl w:val="23357941"/>
    <w:lvl w:ilvl="0" w:tentative="0">
      <w:start w:val="1"/>
      <w:numFmt w:val="decimal"/>
      <w:suff w:val="nothing"/>
      <w:lvlText w:val="%1、"/>
      <w:lvlJc w:val="left"/>
    </w:lvl>
  </w:abstractNum>
  <w:abstractNum w:abstractNumId="1">
    <w:nsid w:val="37D94618"/>
    <w:multiLevelType w:val="multilevel"/>
    <w:tmpl w:val="37D94618"/>
    <w:lvl w:ilvl="0" w:tentative="0">
      <w:start w:val="1"/>
      <w:numFmt w:val="chineseCountingThousand"/>
      <w:pStyle w:val="3"/>
      <w:suff w:val="nothing"/>
      <w:lvlText w:val="%1、  "/>
      <w:lvlJc w:val="left"/>
      <w:pPr>
        <w:ind w:left="3267" w:hanging="431"/>
      </w:pPr>
      <w:rPr>
        <w:rFonts w:hint="default" w:ascii="Times New Roman" w:hAnsi="Times New Roman" w:eastAsia="黑体"/>
        <w:b/>
        <w:i w:val="0"/>
        <w:sz w:val="36"/>
        <w:szCs w:val="36"/>
      </w:rPr>
    </w:lvl>
    <w:lvl w:ilvl="1" w:tentative="0">
      <w:start w:val="1"/>
      <w:numFmt w:val="decimal"/>
      <w:pStyle w:val="4"/>
      <w:isLgl/>
      <w:suff w:val="nothing"/>
      <w:lvlText w:val="%1.%2 "/>
      <w:lvlJc w:val="left"/>
      <w:pPr>
        <w:ind w:left="1134" w:hanging="1134"/>
      </w:pPr>
      <w:rPr>
        <w:rFonts w:hint="default" w:ascii="Times New Roman" w:hAnsi="Times New Roman" w:eastAsia="宋体"/>
        <w:b/>
        <w:i w:val="0"/>
        <w:color w:val="auto"/>
        <w:spacing w:val="20"/>
        <w:kern w:val="2"/>
        <w:sz w:val="32"/>
        <w:szCs w:val="32"/>
        <w:lang w:val="en-US"/>
      </w:rPr>
    </w:lvl>
    <w:lvl w:ilvl="2" w:tentative="0">
      <w:start w:val="1"/>
      <w:numFmt w:val="decimal"/>
      <w:pStyle w:val="5"/>
      <w:lvlText w:val="%3."/>
      <w:lvlJc w:val="left"/>
      <w:pPr>
        <w:ind w:left="480" w:hanging="480"/>
      </w:pPr>
      <w:rPr>
        <w:rFonts w:hint="default"/>
        <w:b/>
        <w:i w:val="0"/>
        <w:color w:val="auto"/>
        <w:sz w:val="30"/>
        <w:szCs w:val="30"/>
      </w:rPr>
    </w:lvl>
    <w:lvl w:ilvl="3" w:tentative="0">
      <w:start w:val="1"/>
      <w:numFmt w:val="decimal"/>
      <w:pStyle w:val="6"/>
      <w:isLgl/>
      <w:suff w:val="nothing"/>
      <w:lvlText w:val="%1.%2.%3.%4  "/>
      <w:lvlJc w:val="left"/>
      <w:pPr>
        <w:ind w:left="1134" w:hanging="1134"/>
      </w:pPr>
      <w:rPr>
        <w:rFonts w:hint="default" w:ascii="Times New Roman" w:hAnsi="Times New Roman" w:eastAsia="宋体"/>
        <w:b/>
        <w:i w:val="0"/>
        <w:sz w:val="28"/>
        <w:szCs w:val="28"/>
      </w:rPr>
    </w:lvl>
    <w:lvl w:ilvl="4" w:tentative="0">
      <w:start w:val="1"/>
      <w:numFmt w:val="decimal"/>
      <w:pStyle w:val="7"/>
      <w:isLgl/>
      <w:suff w:val="nothing"/>
      <w:lvlText w:val="%1.%2.%3.%4.%5 "/>
      <w:lvlJc w:val="left"/>
      <w:pPr>
        <w:ind w:left="1418" w:hanging="1418"/>
      </w:pPr>
      <w:rPr>
        <w:rFonts w:hint="default" w:ascii="Times New Roman" w:hAnsi="Times New Roman" w:eastAsia="黑体"/>
        <w:b/>
        <w:i w:val="0"/>
        <w:sz w:val="24"/>
        <w:szCs w:val="24"/>
      </w:rPr>
    </w:lvl>
    <w:lvl w:ilvl="5" w:tentative="0">
      <w:start w:val="1"/>
      <w:numFmt w:val="decimal"/>
      <w:pStyle w:val="8"/>
      <w:isLgl/>
      <w:suff w:val="nothing"/>
      <w:lvlText w:val="%1.%2.%3.%4.%5.%6"/>
      <w:lvlJc w:val="left"/>
      <w:pPr>
        <w:ind w:left="1701" w:hanging="1701"/>
      </w:pPr>
      <w:rPr>
        <w:rFonts w:hint="default" w:ascii="Times New Roman" w:hAnsi="Times New Roman" w:eastAsia="宋体"/>
        <w:b/>
        <w:i w:val="0"/>
        <w:sz w:val="21"/>
        <w:szCs w:val="21"/>
      </w:rPr>
    </w:lvl>
    <w:lvl w:ilvl="6" w:tentative="0">
      <w:start w:val="1"/>
      <w:numFmt w:val="none"/>
      <w:suff w:val="nothing"/>
      <w:lvlText w:val=""/>
      <w:lvlJc w:val="left"/>
      <w:pPr>
        <w:ind w:left="200" w:firstLine="0"/>
      </w:pPr>
      <w:rPr>
        <w:rFonts w:hint="eastAsia"/>
      </w:rPr>
    </w:lvl>
    <w:lvl w:ilvl="7" w:tentative="0">
      <w:start w:val="1"/>
      <w:numFmt w:val="none"/>
      <w:suff w:val="nothing"/>
      <w:lvlText w:val=""/>
      <w:lvlJc w:val="left"/>
      <w:pPr>
        <w:ind w:left="200" w:firstLine="0"/>
      </w:pPr>
      <w:rPr>
        <w:rFonts w:hint="eastAsia"/>
      </w:rPr>
    </w:lvl>
    <w:lvl w:ilvl="8" w:tentative="0">
      <w:start w:val="1"/>
      <w:numFmt w:val="none"/>
      <w:suff w:val="nothing"/>
      <w:lvlText w:val=""/>
      <w:lvlJc w:val="left"/>
      <w:pPr>
        <w:ind w:left="20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F12B47"/>
    <w:rsid w:val="00037559"/>
    <w:rsid w:val="000435AF"/>
    <w:rsid w:val="00052FB5"/>
    <w:rsid w:val="0009105C"/>
    <w:rsid w:val="00096255"/>
    <w:rsid w:val="000B1831"/>
    <w:rsid w:val="001132B8"/>
    <w:rsid w:val="00137C49"/>
    <w:rsid w:val="00160384"/>
    <w:rsid w:val="0020359D"/>
    <w:rsid w:val="002A4277"/>
    <w:rsid w:val="002E0EC5"/>
    <w:rsid w:val="00366A14"/>
    <w:rsid w:val="00367D3D"/>
    <w:rsid w:val="00394B17"/>
    <w:rsid w:val="003B7020"/>
    <w:rsid w:val="00410463"/>
    <w:rsid w:val="00423523"/>
    <w:rsid w:val="00431BD1"/>
    <w:rsid w:val="005059AC"/>
    <w:rsid w:val="00527E94"/>
    <w:rsid w:val="00544656"/>
    <w:rsid w:val="005937D8"/>
    <w:rsid w:val="00595779"/>
    <w:rsid w:val="005B5EDE"/>
    <w:rsid w:val="006200FA"/>
    <w:rsid w:val="00650B25"/>
    <w:rsid w:val="006566AF"/>
    <w:rsid w:val="0067158D"/>
    <w:rsid w:val="00676975"/>
    <w:rsid w:val="006C470B"/>
    <w:rsid w:val="00725A95"/>
    <w:rsid w:val="007C2129"/>
    <w:rsid w:val="008532C5"/>
    <w:rsid w:val="00895028"/>
    <w:rsid w:val="0089681C"/>
    <w:rsid w:val="008E4924"/>
    <w:rsid w:val="00961765"/>
    <w:rsid w:val="009C35F4"/>
    <w:rsid w:val="00A34398"/>
    <w:rsid w:val="00A94141"/>
    <w:rsid w:val="00AA0C43"/>
    <w:rsid w:val="00AF3767"/>
    <w:rsid w:val="00B26DE7"/>
    <w:rsid w:val="00B33CA7"/>
    <w:rsid w:val="00B80C1C"/>
    <w:rsid w:val="00C04F60"/>
    <w:rsid w:val="00C53372"/>
    <w:rsid w:val="00C86D3D"/>
    <w:rsid w:val="00CB1115"/>
    <w:rsid w:val="00CF21F1"/>
    <w:rsid w:val="00D413A3"/>
    <w:rsid w:val="00D524E7"/>
    <w:rsid w:val="00E531CA"/>
    <w:rsid w:val="00E92E22"/>
    <w:rsid w:val="00E9419C"/>
    <w:rsid w:val="00EC6BCA"/>
    <w:rsid w:val="00F12B47"/>
    <w:rsid w:val="00F5720A"/>
    <w:rsid w:val="00F65308"/>
    <w:rsid w:val="00FC331E"/>
    <w:rsid w:val="01137735"/>
    <w:rsid w:val="01B709DD"/>
    <w:rsid w:val="028F06C1"/>
    <w:rsid w:val="030054FC"/>
    <w:rsid w:val="043F1508"/>
    <w:rsid w:val="051F1BC5"/>
    <w:rsid w:val="05937A34"/>
    <w:rsid w:val="059A1F80"/>
    <w:rsid w:val="0610062A"/>
    <w:rsid w:val="0635503F"/>
    <w:rsid w:val="073C527B"/>
    <w:rsid w:val="0A4A1C71"/>
    <w:rsid w:val="0B090DAA"/>
    <w:rsid w:val="0B403483"/>
    <w:rsid w:val="0B4A1814"/>
    <w:rsid w:val="0BCA33E7"/>
    <w:rsid w:val="0BE80418"/>
    <w:rsid w:val="0BEF7DA3"/>
    <w:rsid w:val="0C441A2C"/>
    <w:rsid w:val="0C886C9D"/>
    <w:rsid w:val="0D5A4DF7"/>
    <w:rsid w:val="0DEC0AE2"/>
    <w:rsid w:val="0E1D03B8"/>
    <w:rsid w:val="10817822"/>
    <w:rsid w:val="125A4EAA"/>
    <w:rsid w:val="1394392D"/>
    <w:rsid w:val="143940BA"/>
    <w:rsid w:val="14F90C75"/>
    <w:rsid w:val="16E97227"/>
    <w:rsid w:val="16F26832"/>
    <w:rsid w:val="170A3ED8"/>
    <w:rsid w:val="17DE2FB7"/>
    <w:rsid w:val="1A2F1202"/>
    <w:rsid w:val="1AD93C19"/>
    <w:rsid w:val="1B1E3089"/>
    <w:rsid w:val="1B910FF1"/>
    <w:rsid w:val="1D5020A4"/>
    <w:rsid w:val="1E0850D6"/>
    <w:rsid w:val="1F75782B"/>
    <w:rsid w:val="1FA44AF7"/>
    <w:rsid w:val="1FDD6AB7"/>
    <w:rsid w:val="211017CA"/>
    <w:rsid w:val="211401D1"/>
    <w:rsid w:val="21843D08"/>
    <w:rsid w:val="232E10D0"/>
    <w:rsid w:val="25A53853"/>
    <w:rsid w:val="26ED706D"/>
    <w:rsid w:val="27390DEA"/>
    <w:rsid w:val="28E571A8"/>
    <w:rsid w:val="2AE2376A"/>
    <w:rsid w:val="2B2576D7"/>
    <w:rsid w:val="2B305A68"/>
    <w:rsid w:val="2D473ED9"/>
    <w:rsid w:val="2DAF4B82"/>
    <w:rsid w:val="2ED1015D"/>
    <w:rsid w:val="2FE0031A"/>
    <w:rsid w:val="30E852C9"/>
    <w:rsid w:val="312C033C"/>
    <w:rsid w:val="313F5CD8"/>
    <w:rsid w:val="32C957DF"/>
    <w:rsid w:val="33026C3D"/>
    <w:rsid w:val="34EB1FE1"/>
    <w:rsid w:val="352743C4"/>
    <w:rsid w:val="35F7EA0D"/>
    <w:rsid w:val="38145D11"/>
    <w:rsid w:val="38365EC5"/>
    <w:rsid w:val="388614C8"/>
    <w:rsid w:val="391F3C45"/>
    <w:rsid w:val="39674039"/>
    <w:rsid w:val="3A4E4336"/>
    <w:rsid w:val="3A651D5D"/>
    <w:rsid w:val="3A887993"/>
    <w:rsid w:val="3B3B2CBA"/>
    <w:rsid w:val="3CC2763E"/>
    <w:rsid w:val="3D1D0C51"/>
    <w:rsid w:val="3D3B0201"/>
    <w:rsid w:val="3FF5D4E1"/>
    <w:rsid w:val="40E070FE"/>
    <w:rsid w:val="41320708"/>
    <w:rsid w:val="43652320"/>
    <w:rsid w:val="436C1103"/>
    <w:rsid w:val="43A0389D"/>
    <w:rsid w:val="44061EA9"/>
    <w:rsid w:val="466C2618"/>
    <w:rsid w:val="470C691E"/>
    <w:rsid w:val="47F3119A"/>
    <w:rsid w:val="489872FD"/>
    <w:rsid w:val="48BF3D66"/>
    <w:rsid w:val="49E95DD2"/>
    <w:rsid w:val="4A4B6D70"/>
    <w:rsid w:val="4A8D525B"/>
    <w:rsid w:val="4C824411"/>
    <w:rsid w:val="4D472ED5"/>
    <w:rsid w:val="4D69470F"/>
    <w:rsid w:val="4DB22585"/>
    <w:rsid w:val="4E2C69CB"/>
    <w:rsid w:val="4F205FDF"/>
    <w:rsid w:val="4F9C5928"/>
    <w:rsid w:val="4FA871BC"/>
    <w:rsid w:val="4FB2334F"/>
    <w:rsid w:val="502B3F12"/>
    <w:rsid w:val="51C51AB5"/>
    <w:rsid w:val="52BC67CA"/>
    <w:rsid w:val="551D6334"/>
    <w:rsid w:val="557C414F"/>
    <w:rsid w:val="558F1AEB"/>
    <w:rsid w:val="55B577AC"/>
    <w:rsid w:val="5670465C"/>
    <w:rsid w:val="57171972"/>
    <w:rsid w:val="58832DC3"/>
    <w:rsid w:val="594B280B"/>
    <w:rsid w:val="5B844A35"/>
    <w:rsid w:val="5C2E164A"/>
    <w:rsid w:val="5CC069BB"/>
    <w:rsid w:val="5D747763"/>
    <w:rsid w:val="5E8575A0"/>
    <w:rsid w:val="5FD42745"/>
    <w:rsid w:val="5FEF45F4"/>
    <w:rsid w:val="60653DEB"/>
    <w:rsid w:val="60C842D7"/>
    <w:rsid w:val="61204966"/>
    <w:rsid w:val="613F521A"/>
    <w:rsid w:val="61724770"/>
    <w:rsid w:val="62107AF1"/>
    <w:rsid w:val="62A24E62"/>
    <w:rsid w:val="63EF1280"/>
    <w:rsid w:val="64802D6E"/>
    <w:rsid w:val="67026690"/>
    <w:rsid w:val="67184FB0"/>
    <w:rsid w:val="67225DF7"/>
    <w:rsid w:val="67230DC3"/>
    <w:rsid w:val="6828797B"/>
    <w:rsid w:val="6876296E"/>
    <w:rsid w:val="687916F5"/>
    <w:rsid w:val="69904740"/>
    <w:rsid w:val="6A601595"/>
    <w:rsid w:val="6AFD6E95"/>
    <w:rsid w:val="6B290FDE"/>
    <w:rsid w:val="6C5277C6"/>
    <w:rsid w:val="6D955854"/>
    <w:rsid w:val="6DF87AF7"/>
    <w:rsid w:val="6EB90D9D"/>
    <w:rsid w:val="6F7E0BF8"/>
    <w:rsid w:val="6FC957F4"/>
    <w:rsid w:val="7075370E"/>
    <w:rsid w:val="70C47EC7"/>
    <w:rsid w:val="70D04D21"/>
    <w:rsid w:val="70E1083F"/>
    <w:rsid w:val="72821660"/>
    <w:rsid w:val="72AC4633"/>
    <w:rsid w:val="74383DB9"/>
    <w:rsid w:val="76434C0F"/>
    <w:rsid w:val="76C26CE6"/>
    <w:rsid w:val="76F971C0"/>
    <w:rsid w:val="790B20A3"/>
    <w:rsid w:val="7A9863B2"/>
    <w:rsid w:val="7B3B077C"/>
    <w:rsid w:val="7B671F02"/>
    <w:rsid w:val="7B7E53AB"/>
    <w:rsid w:val="7B9671CE"/>
    <w:rsid w:val="7C630EA1"/>
    <w:rsid w:val="7CEB2E1F"/>
    <w:rsid w:val="7D5E7E3F"/>
    <w:rsid w:val="7E2D7213"/>
    <w:rsid w:val="7E9B7847"/>
    <w:rsid w:val="7F13078A"/>
    <w:rsid w:val="7F1E1651"/>
    <w:rsid w:val="A7FF6D5B"/>
    <w:rsid w:val="DF960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7"/>
    <w:qFormat/>
    <w:uiPriority w:val="0"/>
    <w:pPr>
      <w:keepNext/>
      <w:keepLines/>
      <w:widowControl/>
      <w:numPr>
        <w:ilvl w:val="0"/>
        <w:numId w:val="1"/>
      </w:numPr>
      <w:spacing w:before="340" w:after="330" w:line="578" w:lineRule="auto"/>
      <w:jc w:val="left"/>
      <w:outlineLvl w:val="0"/>
    </w:pPr>
    <w:rPr>
      <w:rFonts w:ascii="Times New Roman" w:hAnsi="Times New Roman"/>
      <w:b/>
      <w:bCs/>
      <w:kern w:val="44"/>
      <w:sz w:val="44"/>
      <w:szCs w:val="44"/>
    </w:rPr>
  </w:style>
  <w:style w:type="paragraph" w:styleId="4">
    <w:name w:val="heading 2"/>
    <w:basedOn w:val="1"/>
    <w:next w:val="1"/>
    <w:link w:val="28"/>
    <w:qFormat/>
    <w:uiPriority w:val="9"/>
    <w:pPr>
      <w:keepNext/>
      <w:keepLines/>
      <w:widowControl/>
      <w:numPr>
        <w:ilvl w:val="1"/>
        <w:numId w:val="1"/>
      </w:numPr>
      <w:spacing w:before="260" w:after="260" w:line="416" w:lineRule="auto"/>
      <w:jc w:val="left"/>
      <w:outlineLvl w:val="1"/>
    </w:pPr>
    <w:rPr>
      <w:rFonts w:ascii="Arial" w:hAnsi="Arial" w:eastAsia="黑体"/>
      <w:b/>
      <w:bCs/>
      <w:sz w:val="32"/>
      <w:szCs w:val="32"/>
    </w:rPr>
  </w:style>
  <w:style w:type="paragraph" w:styleId="5">
    <w:name w:val="heading 3"/>
    <w:basedOn w:val="1"/>
    <w:next w:val="1"/>
    <w:link w:val="29"/>
    <w:qFormat/>
    <w:uiPriority w:val="0"/>
    <w:pPr>
      <w:keepNext/>
      <w:keepLines/>
      <w:widowControl/>
      <w:numPr>
        <w:ilvl w:val="2"/>
        <w:numId w:val="1"/>
      </w:numPr>
      <w:tabs>
        <w:tab w:val="left" w:pos="851"/>
      </w:tabs>
      <w:spacing w:before="260" w:after="260" w:line="416" w:lineRule="auto"/>
      <w:jc w:val="left"/>
      <w:outlineLvl w:val="2"/>
    </w:pPr>
    <w:rPr>
      <w:rFonts w:ascii="Times New Roman" w:hAnsi="Times New Roman"/>
      <w:b/>
      <w:bCs/>
      <w:sz w:val="32"/>
      <w:szCs w:val="32"/>
    </w:rPr>
  </w:style>
  <w:style w:type="paragraph" w:styleId="6">
    <w:name w:val="heading 4"/>
    <w:basedOn w:val="1"/>
    <w:next w:val="1"/>
    <w:link w:val="30"/>
    <w:qFormat/>
    <w:uiPriority w:val="0"/>
    <w:pPr>
      <w:keepNext/>
      <w:keepLines/>
      <w:widowControl/>
      <w:numPr>
        <w:ilvl w:val="3"/>
        <w:numId w:val="1"/>
      </w:numPr>
      <w:spacing w:before="280" w:after="290" w:line="376" w:lineRule="auto"/>
      <w:jc w:val="left"/>
      <w:outlineLvl w:val="3"/>
    </w:pPr>
    <w:rPr>
      <w:rFonts w:ascii="Arial" w:hAnsi="Arial" w:eastAsia="黑体"/>
      <w:b/>
      <w:bCs/>
      <w:sz w:val="28"/>
      <w:szCs w:val="28"/>
    </w:rPr>
  </w:style>
  <w:style w:type="paragraph" w:styleId="7">
    <w:name w:val="heading 5"/>
    <w:basedOn w:val="1"/>
    <w:next w:val="1"/>
    <w:link w:val="31"/>
    <w:qFormat/>
    <w:uiPriority w:val="0"/>
    <w:pPr>
      <w:keepNext/>
      <w:keepLines/>
      <w:widowControl/>
      <w:numPr>
        <w:ilvl w:val="4"/>
        <w:numId w:val="1"/>
      </w:numPr>
      <w:spacing w:before="280" w:after="290" w:line="376" w:lineRule="auto"/>
      <w:jc w:val="left"/>
      <w:outlineLvl w:val="4"/>
    </w:pPr>
    <w:rPr>
      <w:rFonts w:ascii="Times New Roman" w:hAnsi="Times New Roman"/>
      <w:b/>
      <w:bCs/>
      <w:sz w:val="28"/>
      <w:szCs w:val="28"/>
    </w:rPr>
  </w:style>
  <w:style w:type="paragraph" w:styleId="8">
    <w:name w:val="heading 6"/>
    <w:basedOn w:val="1"/>
    <w:next w:val="1"/>
    <w:link w:val="32"/>
    <w:qFormat/>
    <w:uiPriority w:val="0"/>
    <w:pPr>
      <w:keepNext/>
      <w:keepLines/>
      <w:widowControl/>
      <w:numPr>
        <w:ilvl w:val="5"/>
        <w:numId w:val="1"/>
      </w:numPr>
      <w:spacing w:before="240" w:after="64" w:line="320" w:lineRule="auto"/>
      <w:jc w:val="left"/>
      <w:outlineLvl w:val="5"/>
    </w:pPr>
    <w:rPr>
      <w:rFonts w:ascii="Arial" w:hAnsi="Arial" w:eastAsia="黑体"/>
      <w:b/>
      <w:bCs/>
      <w:sz w:val="24"/>
      <w:szCs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kern w:val="0"/>
      <w:sz w:val="20"/>
    </w:rPr>
  </w:style>
  <w:style w:type="paragraph" w:styleId="9">
    <w:name w:val="Normal Indent"/>
    <w:basedOn w:val="1"/>
    <w:next w:val="1"/>
    <w:unhideWhenUsed/>
    <w:qFormat/>
    <w:uiPriority w:val="99"/>
    <w:pPr>
      <w:ind w:firstLine="420"/>
    </w:pPr>
  </w:style>
  <w:style w:type="paragraph" w:styleId="10">
    <w:name w:val="Document Map"/>
    <w:basedOn w:val="1"/>
    <w:link w:val="34"/>
    <w:unhideWhenUsed/>
    <w:qFormat/>
    <w:uiPriority w:val="99"/>
    <w:rPr>
      <w:rFonts w:ascii="宋体"/>
      <w:sz w:val="18"/>
      <w:szCs w:val="18"/>
    </w:rPr>
  </w:style>
  <w:style w:type="paragraph" w:styleId="11">
    <w:name w:val="Body Text Indent"/>
    <w:basedOn w:val="1"/>
    <w:qFormat/>
    <w:uiPriority w:val="0"/>
    <w:pPr>
      <w:ind w:firstLine="660"/>
    </w:pPr>
    <w:rPr>
      <w:rFonts w:ascii="宋体" w:hAnsi="宋体"/>
      <w:color w:val="000000"/>
      <w:sz w:val="24"/>
      <w:szCs w:val="20"/>
    </w:rPr>
  </w:style>
  <w:style w:type="paragraph" w:styleId="12">
    <w:name w:val="Date"/>
    <w:basedOn w:val="1"/>
    <w:next w:val="1"/>
    <w:qFormat/>
    <w:uiPriority w:val="0"/>
    <w:rPr>
      <w:rFonts w:ascii="宋体" w:hAnsi="宋体" w:cstheme="minorBidi"/>
      <w:b/>
      <w:sz w:val="28"/>
    </w:rPr>
  </w:style>
  <w:style w:type="paragraph" w:styleId="13">
    <w:name w:val="Balloon Text"/>
    <w:basedOn w:val="1"/>
    <w:link w:val="35"/>
    <w:unhideWhenUsed/>
    <w:qFormat/>
    <w:uiPriority w:val="99"/>
    <w:rPr>
      <w:sz w:val="18"/>
      <w:szCs w:val="18"/>
    </w:rPr>
  </w:style>
  <w:style w:type="paragraph" w:styleId="14">
    <w:name w:val="footer"/>
    <w:basedOn w:val="1"/>
    <w:link w:val="26"/>
    <w:unhideWhenUsed/>
    <w:qFormat/>
    <w:uiPriority w:val="99"/>
    <w:pPr>
      <w:tabs>
        <w:tab w:val="center" w:pos="4153"/>
        <w:tab w:val="right" w:pos="8306"/>
      </w:tabs>
      <w:snapToGrid w:val="0"/>
      <w:jc w:val="left"/>
    </w:pPr>
    <w:rPr>
      <w:sz w:val="18"/>
      <w:szCs w:val="18"/>
    </w:rPr>
  </w:style>
  <w:style w:type="paragraph" w:styleId="15">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unhideWhenUsed/>
    <w:qFormat/>
    <w:uiPriority w:val="99"/>
    <w:pPr>
      <w:widowControl/>
      <w:jc w:val="left"/>
    </w:pPr>
    <w:rPr>
      <w:rFonts w:ascii="宋体" w:hAnsi="宋体" w:cs="宋体"/>
      <w:kern w:val="0"/>
      <w:sz w:val="24"/>
      <w:szCs w:val="24"/>
    </w:rPr>
  </w:style>
  <w:style w:type="table" w:styleId="18">
    <w:name w:val="Table Grid"/>
    <w:basedOn w:val="1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paragraph" w:customStyle="1" w:styleId="21">
    <w:name w:val="4级标题"/>
    <w:basedOn w:val="6"/>
    <w:link w:val="33"/>
    <w:qFormat/>
    <w:uiPriority w:val="0"/>
    <w:pPr>
      <w:spacing w:before="120" w:after="120" w:line="360" w:lineRule="auto"/>
    </w:pPr>
    <w:rPr>
      <w:rFonts w:ascii="宋体" w:hAnsi="宋体" w:eastAsia="宋体"/>
    </w:rPr>
  </w:style>
  <w:style w:type="paragraph" w:customStyle="1" w:styleId="22">
    <w:name w:val="列出段落4"/>
    <w:basedOn w:val="1"/>
    <w:qFormat/>
    <w:uiPriority w:val="34"/>
    <w:pPr>
      <w:ind w:firstLine="420" w:firstLineChars="200"/>
    </w:pPr>
  </w:style>
  <w:style w:type="paragraph" w:customStyle="1" w:styleId="23">
    <w:name w:val="正文2"/>
    <w:basedOn w:val="1"/>
    <w:link w:val="36"/>
    <w:qFormat/>
    <w:uiPriority w:val="0"/>
    <w:pPr>
      <w:spacing w:before="156" w:line="360" w:lineRule="auto"/>
      <w:ind w:left="567" w:firstLine="510"/>
    </w:pPr>
    <w:rPr>
      <w:rFonts w:cs="黑体"/>
      <w:sz w:val="24"/>
    </w:rPr>
  </w:style>
  <w:style w:type="paragraph" w:customStyle="1" w:styleId="24">
    <w:name w:val="列表段落1"/>
    <w:basedOn w:val="1"/>
    <w:qFormat/>
    <w:uiPriority w:val="34"/>
    <w:pPr>
      <w:ind w:firstLine="420" w:firstLineChars="200"/>
    </w:pPr>
  </w:style>
  <w:style w:type="character" w:customStyle="1" w:styleId="25">
    <w:name w:val="页眉 字符"/>
    <w:link w:val="15"/>
    <w:qFormat/>
    <w:uiPriority w:val="99"/>
    <w:rPr>
      <w:sz w:val="18"/>
      <w:szCs w:val="18"/>
    </w:rPr>
  </w:style>
  <w:style w:type="character" w:customStyle="1" w:styleId="26">
    <w:name w:val="页脚 字符"/>
    <w:link w:val="14"/>
    <w:qFormat/>
    <w:uiPriority w:val="99"/>
    <w:rPr>
      <w:sz w:val="18"/>
      <w:szCs w:val="18"/>
    </w:rPr>
  </w:style>
  <w:style w:type="character" w:customStyle="1" w:styleId="27">
    <w:name w:val="标题 1 字符"/>
    <w:link w:val="3"/>
    <w:qFormat/>
    <w:uiPriority w:val="0"/>
    <w:rPr>
      <w:rFonts w:ascii="Times New Roman" w:hAnsi="Times New Roman" w:eastAsia="宋体" w:cs="Times New Roman"/>
      <w:b/>
      <w:bCs/>
      <w:kern w:val="44"/>
      <w:sz w:val="44"/>
      <w:szCs w:val="44"/>
    </w:rPr>
  </w:style>
  <w:style w:type="character" w:customStyle="1" w:styleId="28">
    <w:name w:val="标题 2 字符"/>
    <w:link w:val="4"/>
    <w:qFormat/>
    <w:uiPriority w:val="9"/>
    <w:rPr>
      <w:rFonts w:ascii="Arial" w:hAnsi="Arial" w:eastAsia="黑体" w:cs="Times New Roman"/>
      <w:b/>
      <w:bCs/>
      <w:sz w:val="32"/>
      <w:szCs w:val="32"/>
    </w:rPr>
  </w:style>
  <w:style w:type="character" w:customStyle="1" w:styleId="29">
    <w:name w:val="标题 3 字符"/>
    <w:link w:val="5"/>
    <w:qFormat/>
    <w:uiPriority w:val="0"/>
    <w:rPr>
      <w:rFonts w:ascii="Times New Roman" w:hAnsi="Times New Roman" w:eastAsia="宋体" w:cs="Times New Roman"/>
      <w:b/>
      <w:bCs/>
      <w:sz w:val="32"/>
      <w:szCs w:val="32"/>
    </w:rPr>
  </w:style>
  <w:style w:type="character" w:customStyle="1" w:styleId="30">
    <w:name w:val="标题 4 字符"/>
    <w:link w:val="6"/>
    <w:qFormat/>
    <w:uiPriority w:val="0"/>
    <w:rPr>
      <w:rFonts w:ascii="Arial" w:hAnsi="Arial" w:eastAsia="黑体" w:cs="Times New Roman"/>
      <w:b/>
      <w:bCs/>
      <w:sz w:val="28"/>
      <w:szCs w:val="28"/>
    </w:rPr>
  </w:style>
  <w:style w:type="character" w:customStyle="1" w:styleId="31">
    <w:name w:val="标题 5 字符"/>
    <w:link w:val="7"/>
    <w:qFormat/>
    <w:uiPriority w:val="0"/>
    <w:rPr>
      <w:rFonts w:ascii="Times New Roman" w:hAnsi="Times New Roman" w:eastAsia="宋体" w:cs="Times New Roman"/>
      <w:b/>
      <w:bCs/>
      <w:sz w:val="28"/>
      <w:szCs w:val="28"/>
    </w:rPr>
  </w:style>
  <w:style w:type="character" w:customStyle="1" w:styleId="32">
    <w:name w:val="标题 6 字符"/>
    <w:link w:val="8"/>
    <w:qFormat/>
    <w:uiPriority w:val="0"/>
    <w:rPr>
      <w:rFonts w:ascii="Arial" w:hAnsi="Arial" w:eastAsia="黑体" w:cs="Times New Roman"/>
      <w:b/>
      <w:bCs/>
      <w:sz w:val="24"/>
      <w:szCs w:val="24"/>
    </w:rPr>
  </w:style>
  <w:style w:type="character" w:customStyle="1" w:styleId="33">
    <w:name w:val="4级标题 Char"/>
    <w:link w:val="21"/>
    <w:qFormat/>
    <w:uiPriority w:val="0"/>
    <w:rPr>
      <w:rFonts w:ascii="宋体" w:hAnsi="宋体" w:eastAsia="宋体" w:cs="Times New Roman"/>
      <w:b/>
      <w:bCs/>
      <w:sz w:val="28"/>
      <w:szCs w:val="28"/>
    </w:rPr>
  </w:style>
  <w:style w:type="character" w:customStyle="1" w:styleId="34">
    <w:name w:val="文档结构图 字符"/>
    <w:link w:val="10"/>
    <w:semiHidden/>
    <w:qFormat/>
    <w:uiPriority w:val="99"/>
    <w:rPr>
      <w:rFonts w:ascii="宋体" w:hAnsi="Calibri" w:eastAsia="宋体" w:cs="Times New Roman"/>
      <w:sz w:val="18"/>
      <w:szCs w:val="18"/>
    </w:rPr>
  </w:style>
  <w:style w:type="character" w:customStyle="1" w:styleId="35">
    <w:name w:val="批注框文本 字符"/>
    <w:link w:val="13"/>
    <w:semiHidden/>
    <w:qFormat/>
    <w:uiPriority w:val="99"/>
    <w:rPr>
      <w:rFonts w:ascii="Calibri" w:hAnsi="Calibri" w:eastAsia="宋体" w:cs="Times New Roman"/>
      <w:sz w:val="18"/>
      <w:szCs w:val="18"/>
    </w:rPr>
  </w:style>
  <w:style w:type="character" w:customStyle="1" w:styleId="36">
    <w:name w:val="正文2 Char"/>
    <w:link w:val="23"/>
    <w:qFormat/>
    <w:uiPriority w:val="0"/>
    <w:rPr>
      <w:sz w:val="24"/>
    </w:rPr>
  </w:style>
  <w:style w:type="paragraph" w:customStyle="1" w:styleId="37">
    <w:name w:val="Char"/>
    <w:basedOn w:val="1"/>
    <w:qFormat/>
    <w:uiPriority w:val="0"/>
    <w:rPr>
      <w:rFonts w:ascii="Tahoma" w:hAnsi="Tahoma"/>
      <w:sz w:val="24"/>
      <w:szCs w:val="20"/>
    </w:rPr>
  </w:style>
  <w:style w:type="paragraph" w:customStyle="1" w:styleId="38">
    <w:name w:val="列出段落"/>
    <w:basedOn w:val="1"/>
    <w:qFormat/>
    <w:uiPriority w:val="0"/>
    <w:pPr>
      <w:spacing w:line="360" w:lineRule="auto"/>
      <w:ind w:firstLine="420" w:firstLineChars="200"/>
    </w:pPr>
    <w:rPr>
      <w:rFonts w:eastAsia="楷体_GB2312"/>
      <w:color w:val="800000"/>
      <w:kern w:val="0"/>
      <w:sz w:val="24"/>
      <w:szCs w:val="20"/>
    </w:rPr>
  </w:style>
  <w:style w:type="paragraph" w:customStyle="1" w:styleId="39">
    <w:name w:val="_Style 1"/>
    <w:basedOn w:val="1"/>
    <w:qFormat/>
    <w:uiPriority w:val="0"/>
    <w:pPr>
      <w:spacing w:line="360" w:lineRule="auto"/>
      <w:ind w:firstLine="420" w:firstLineChars="200"/>
    </w:pPr>
    <w:rPr>
      <w:rFonts w:eastAsia="楷体_GB2312"/>
      <w:color w:val="800000"/>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984</Words>
  <Characters>5615</Characters>
  <Lines>46</Lines>
  <Paragraphs>13</Paragraphs>
  <TotalTime>3</TotalTime>
  <ScaleCrop>false</ScaleCrop>
  <LinksUpToDate>false</LinksUpToDate>
  <CharactersWithSpaces>6586</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2023-11-16T00:06:00Z</dcterms:created>
  <dc:creator>zgx</dc:creator>
  <cp:lastModifiedBy>陈俊杰</cp:lastModifiedBy>
  <cp:lastPrinted>2018-10-23T23:55:00Z</cp:lastPrinted>
  <dcterms:modified xsi:type="dcterms:W3CDTF">2023-11-15T16:25:46Z</dcterms:modified>
  <dc:title>信息系统安全等级测评采购需求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E11E3A0263DD495EAD226C79EE75E292_12</vt:lpwstr>
  </property>
</Properties>
</file>